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932AEEE" w14:textId="188BC8AC" w:rsidR="00EF4978" w:rsidRPr="00F65AFC" w:rsidRDefault="000E7454" w:rsidP="00FE71FC">
      <w:pPr>
        <w:keepNext/>
        <w:keepLines/>
        <w:numPr>
          <w:ilvl w:val="1"/>
          <w:numId w:val="4"/>
        </w:numPr>
        <w:suppressAutoHyphens/>
        <w:spacing w:before="240" w:after="240" w:line="259" w:lineRule="auto"/>
        <w:ind w:right="-266"/>
        <w:rPr>
          <w:rFonts w:ascii="Calibri" w:eastAsia="Arial" w:hAnsi="Calibri" w:cs="Calibri"/>
          <w:b/>
          <w:color w:val="002060"/>
          <w:sz w:val="32"/>
          <w:szCs w:val="32"/>
          <w:lang w:val="cs" w:eastAsia="cs-CZ"/>
        </w:rPr>
      </w:pPr>
      <w:r>
        <w:rPr>
          <w:rFonts w:ascii="Calibri" w:eastAsia="Arial" w:hAnsi="Calibri" w:cs="Calibri"/>
          <w:b/>
          <w:color w:val="002060"/>
          <w:sz w:val="32"/>
          <w:szCs w:val="32"/>
          <w:lang w:val="cs" w:eastAsia="cs-CZ"/>
        </w:rPr>
        <w:t>Dílčí etapy</w:t>
      </w:r>
      <w:r w:rsidR="00C932B0">
        <w:rPr>
          <w:rFonts w:ascii="Calibri" w:eastAsia="Arial" w:hAnsi="Calibri" w:cs="Calibri"/>
          <w:b/>
          <w:color w:val="002060"/>
          <w:sz w:val="32"/>
          <w:szCs w:val="32"/>
          <w:lang w:val="cs" w:eastAsia="cs-CZ"/>
        </w:rPr>
        <w:t xml:space="preserve"> realizace díla</w:t>
      </w:r>
      <w:r w:rsidR="00334CB5">
        <w:rPr>
          <w:rFonts w:ascii="Calibri" w:eastAsia="Arial" w:hAnsi="Calibri" w:cs="Calibri"/>
          <w:b/>
          <w:color w:val="002060"/>
          <w:sz w:val="32"/>
          <w:szCs w:val="32"/>
          <w:lang w:val="cs" w:eastAsia="cs-CZ"/>
        </w:rPr>
        <w:t xml:space="preserve"> </w:t>
      </w:r>
      <w:r w:rsidR="00EF4978">
        <w:rPr>
          <w:rFonts w:ascii="Calibri" w:eastAsia="Arial" w:hAnsi="Calibri" w:cs="Calibri"/>
          <w:b/>
          <w:color w:val="002060"/>
          <w:sz w:val="32"/>
          <w:szCs w:val="32"/>
          <w:lang w:val="cs" w:eastAsia="cs-CZ"/>
        </w:rPr>
        <w:t>–</w:t>
      </w:r>
      <w:r w:rsidR="00334CB5">
        <w:rPr>
          <w:rFonts w:ascii="Calibri" w:eastAsia="Arial" w:hAnsi="Calibri" w:cs="Calibri"/>
          <w:b/>
          <w:color w:val="002060"/>
          <w:sz w:val="32"/>
          <w:szCs w:val="32"/>
          <w:lang w:val="cs" w:eastAsia="cs-CZ"/>
        </w:rPr>
        <w:t xml:space="preserve"> milníky</w:t>
      </w:r>
    </w:p>
    <w:p w14:paraId="780F2C39" w14:textId="67652716" w:rsidR="00E90CE8" w:rsidRDefault="00C932B0" w:rsidP="00A206C4">
      <w:pPr>
        <w:pStyle w:val="Odstavecseseznamem"/>
        <w:ind w:left="0"/>
        <w:jc w:val="both"/>
        <w:rPr>
          <w:rFonts w:cstheme="minorHAnsi"/>
        </w:rPr>
      </w:pPr>
      <w:r>
        <w:rPr>
          <w:rFonts w:cstheme="minorHAnsi"/>
        </w:rPr>
        <w:t>D</w:t>
      </w:r>
      <w:r w:rsidR="005263E6">
        <w:rPr>
          <w:rFonts w:cstheme="minorHAnsi"/>
        </w:rPr>
        <w:t>íl</w:t>
      </w:r>
      <w:r>
        <w:rPr>
          <w:rFonts w:cstheme="minorHAnsi"/>
        </w:rPr>
        <w:t>o</w:t>
      </w:r>
      <w:r w:rsidR="005263E6">
        <w:rPr>
          <w:rFonts w:cstheme="minorHAnsi"/>
        </w:rPr>
        <w:t xml:space="preserve"> bude zhotovitelem realizován</w:t>
      </w:r>
      <w:r>
        <w:rPr>
          <w:rFonts w:cstheme="minorHAnsi"/>
        </w:rPr>
        <w:t>o</w:t>
      </w:r>
      <w:r w:rsidR="005263E6">
        <w:rPr>
          <w:rFonts w:cstheme="minorHAnsi"/>
        </w:rPr>
        <w:t xml:space="preserve"> po níže </w:t>
      </w:r>
      <w:r w:rsidR="002E124C">
        <w:rPr>
          <w:rFonts w:cstheme="minorHAnsi"/>
        </w:rPr>
        <w:t xml:space="preserve">popsaných </w:t>
      </w:r>
      <w:r w:rsidR="005263E6">
        <w:rPr>
          <w:rFonts w:cstheme="minorHAnsi"/>
        </w:rPr>
        <w:t>etapách zakončených milníky</w:t>
      </w:r>
      <w:r w:rsidR="002E124C">
        <w:rPr>
          <w:rFonts w:cstheme="minorHAnsi"/>
        </w:rPr>
        <w:t>, které je zhotovitel povinen provést</w:t>
      </w:r>
      <w:r w:rsidR="00B348CE">
        <w:rPr>
          <w:rFonts w:cstheme="minorHAnsi"/>
        </w:rPr>
        <w:t xml:space="preserve"> (tj. dokončit a předat, je-li předání relevantní)</w:t>
      </w:r>
      <w:r w:rsidR="002E124C">
        <w:rPr>
          <w:rFonts w:cstheme="minorHAnsi"/>
        </w:rPr>
        <w:t xml:space="preserve"> ve stanovených termínech. Zároveň je zhotovitel v souvislosti s jednotlivými milníky oprávněn fakturovat objednateli zálohy na provádění díla tak, jak je uvedeno v následující tabulce</w:t>
      </w:r>
      <w:r w:rsidR="005263E6">
        <w:rPr>
          <w:rFonts w:cstheme="minorHAnsi"/>
        </w:rPr>
        <w:t>:</w:t>
      </w:r>
    </w:p>
    <w:p w14:paraId="06619556" w14:textId="77777777" w:rsidR="008B653B" w:rsidRDefault="008B653B" w:rsidP="00A206C4">
      <w:pPr>
        <w:pStyle w:val="Odstavecseseznamem"/>
        <w:ind w:left="0"/>
        <w:jc w:val="both"/>
        <w:rPr>
          <w:rFonts w:cstheme="minorHAnsi"/>
        </w:rPr>
      </w:pPr>
    </w:p>
    <w:tbl>
      <w:tblPr>
        <w:tblStyle w:val="Mkatabulky"/>
        <w:tblpPr w:leftFromText="141" w:rightFromText="141" w:vertAnchor="text" w:horzAnchor="page" w:tblpX="1003" w:tblpY="148"/>
        <w:tblW w:w="10385" w:type="dxa"/>
        <w:shd w:val="clear" w:color="auto" w:fill="DEEAF6" w:themeFill="accent5" w:themeFillTint="33"/>
        <w:tblLook w:val="04A0" w:firstRow="1" w:lastRow="0" w:firstColumn="1" w:lastColumn="0" w:noHBand="0" w:noVBand="1"/>
      </w:tblPr>
      <w:tblGrid>
        <w:gridCol w:w="2223"/>
        <w:gridCol w:w="440"/>
        <w:gridCol w:w="2211"/>
        <w:gridCol w:w="2086"/>
        <w:gridCol w:w="3425"/>
      </w:tblGrid>
      <w:tr w:rsidR="00FF469C" w14:paraId="60A7A19B" w14:textId="77777777" w:rsidTr="008B653B">
        <w:trPr>
          <w:trHeight w:val="757"/>
        </w:trPr>
        <w:tc>
          <w:tcPr>
            <w:tcW w:w="2223" w:type="dxa"/>
            <w:shd w:val="clear" w:color="auto" w:fill="DEEAF6" w:themeFill="accent5" w:themeFillTint="33"/>
          </w:tcPr>
          <w:p w14:paraId="1F9414AB" w14:textId="64ABF6E2" w:rsidR="002E124C" w:rsidRDefault="00FC69C1" w:rsidP="002E124C">
            <w:pPr>
              <w:pStyle w:val="Odstavecseseznamem"/>
              <w:ind w:left="0"/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Část díla</w:t>
            </w:r>
          </w:p>
        </w:tc>
        <w:tc>
          <w:tcPr>
            <w:tcW w:w="2651" w:type="dxa"/>
            <w:gridSpan w:val="2"/>
            <w:shd w:val="clear" w:color="auto" w:fill="DEEAF6" w:themeFill="accent5" w:themeFillTint="33"/>
          </w:tcPr>
          <w:p w14:paraId="32699A41" w14:textId="77777777" w:rsidR="002E124C" w:rsidRDefault="002E124C" w:rsidP="002E124C">
            <w:pPr>
              <w:pStyle w:val="Odstavecseseznamem"/>
              <w:ind w:left="0"/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Milníky</w:t>
            </w:r>
          </w:p>
        </w:tc>
        <w:tc>
          <w:tcPr>
            <w:tcW w:w="2086" w:type="dxa"/>
            <w:shd w:val="clear" w:color="auto" w:fill="DEEAF6" w:themeFill="accent5" w:themeFillTint="33"/>
          </w:tcPr>
          <w:p w14:paraId="184F8901" w14:textId="77777777" w:rsidR="002E124C" w:rsidRDefault="002E124C" w:rsidP="002E124C">
            <w:pPr>
              <w:pStyle w:val="Odstavecseseznamem"/>
              <w:ind w:left="0"/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Termíny dokončení milníků</w:t>
            </w:r>
          </w:p>
        </w:tc>
        <w:tc>
          <w:tcPr>
            <w:tcW w:w="3425" w:type="dxa"/>
            <w:shd w:val="clear" w:color="auto" w:fill="DEEAF6" w:themeFill="accent5" w:themeFillTint="33"/>
          </w:tcPr>
          <w:p w14:paraId="3E47B997" w14:textId="77777777" w:rsidR="002E124C" w:rsidRDefault="002E124C" w:rsidP="002E124C">
            <w:pPr>
              <w:pStyle w:val="Odstavecseseznamem"/>
              <w:ind w:left="0"/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Fakturace</w:t>
            </w:r>
          </w:p>
        </w:tc>
      </w:tr>
      <w:tr w:rsidR="00CD5E33" w14:paraId="17339377" w14:textId="77777777" w:rsidTr="008B653B">
        <w:trPr>
          <w:trHeight w:val="1144"/>
        </w:trPr>
        <w:tc>
          <w:tcPr>
            <w:tcW w:w="2223" w:type="dxa"/>
            <w:vMerge w:val="restart"/>
            <w:shd w:val="clear" w:color="auto" w:fill="DEEAF6" w:themeFill="accent5" w:themeFillTint="33"/>
          </w:tcPr>
          <w:p w14:paraId="19EFA9A7" w14:textId="10F0DAEC" w:rsidR="00CD5E33" w:rsidRPr="00066E57" w:rsidRDefault="00CD5E33" w:rsidP="002E124C">
            <w:pPr>
              <w:pStyle w:val="Odstavecseseznamem"/>
              <w:ind w:left="0"/>
              <w:jc w:val="both"/>
              <w:rPr>
                <w:rFonts w:cstheme="minorHAnsi"/>
                <w:b/>
              </w:rPr>
            </w:pPr>
            <w:r w:rsidRPr="00066E57">
              <w:rPr>
                <w:rFonts w:cstheme="minorHAnsi"/>
                <w:b/>
              </w:rPr>
              <w:t xml:space="preserve">ČÁST </w:t>
            </w:r>
            <w:proofErr w:type="gramStart"/>
            <w:r w:rsidRPr="00066E57">
              <w:rPr>
                <w:rFonts w:cstheme="minorHAnsi"/>
                <w:b/>
              </w:rPr>
              <w:t>I - DSP</w:t>
            </w:r>
            <w:proofErr w:type="gramEnd"/>
          </w:p>
        </w:tc>
        <w:tc>
          <w:tcPr>
            <w:tcW w:w="440" w:type="dxa"/>
            <w:shd w:val="clear" w:color="auto" w:fill="DEEAF6" w:themeFill="accent5" w:themeFillTint="33"/>
          </w:tcPr>
          <w:p w14:paraId="1A4C2631" w14:textId="705FC29F" w:rsidR="00CD5E33" w:rsidRDefault="00CD5E33" w:rsidP="002E124C">
            <w:pPr>
              <w:pStyle w:val="Odstavecseseznamem"/>
              <w:ind w:left="0"/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211" w:type="dxa"/>
            <w:shd w:val="clear" w:color="auto" w:fill="DEEAF6" w:themeFill="accent5" w:themeFillTint="33"/>
          </w:tcPr>
          <w:p w14:paraId="7661D3F4" w14:textId="555E288E" w:rsidR="00CD5E33" w:rsidRDefault="00CD5E33" w:rsidP="002E124C">
            <w:pPr>
              <w:pStyle w:val="Odstavecseseznamem"/>
              <w:ind w:left="0"/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 xml:space="preserve"> zahájení plnění</w:t>
            </w:r>
          </w:p>
        </w:tc>
        <w:tc>
          <w:tcPr>
            <w:tcW w:w="2086" w:type="dxa"/>
            <w:shd w:val="clear" w:color="auto" w:fill="DEEAF6" w:themeFill="accent5" w:themeFillTint="33"/>
          </w:tcPr>
          <w:p w14:paraId="220D33A6" w14:textId="5AB0CB04" w:rsidR="00CD5E33" w:rsidRDefault="00CD5E33" w:rsidP="002E124C">
            <w:pPr>
              <w:pStyle w:val="Odstavecseseznamem"/>
              <w:ind w:left="0"/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bez zbytečného odkladu po nabytí účinnosti smlouvy</w:t>
            </w:r>
          </w:p>
        </w:tc>
        <w:tc>
          <w:tcPr>
            <w:tcW w:w="3425" w:type="dxa"/>
            <w:shd w:val="clear" w:color="auto" w:fill="DEEAF6" w:themeFill="accent5" w:themeFillTint="33"/>
          </w:tcPr>
          <w:p w14:paraId="6F833275" w14:textId="18DF91EF" w:rsidR="00CD5E33" w:rsidRDefault="001024CA" w:rsidP="002E124C">
            <w:pPr>
              <w:pStyle w:val="Odstavecseseznamem"/>
              <w:ind w:left="0"/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bez zálohy</w:t>
            </w:r>
          </w:p>
        </w:tc>
      </w:tr>
      <w:tr w:rsidR="00CD5E33" w14:paraId="07645B17" w14:textId="77777777" w:rsidTr="008B653B">
        <w:trPr>
          <w:trHeight w:val="1405"/>
        </w:trPr>
        <w:tc>
          <w:tcPr>
            <w:tcW w:w="2223" w:type="dxa"/>
            <w:vMerge/>
            <w:shd w:val="clear" w:color="auto" w:fill="DEEAF6" w:themeFill="accent5" w:themeFillTint="33"/>
          </w:tcPr>
          <w:p w14:paraId="30ACF181" w14:textId="77777777" w:rsidR="00CD5E33" w:rsidRDefault="00CD5E33" w:rsidP="002E124C">
            <w:pPr>
              <w:pStyle w:val="Odstavecseseznamem"/>
              <w:ind w:left="0"/>
              <w:jc w:val="both"/>
              <w:rPr>
                <w:rFonts w:cstheme="minorHAnsi"/>
              </w:rPr>
            </w:pPr>
          </w:p>
        </w:tc>
        <w:tc>
          <w:tcPr>
            <w:tcW w:w="440" w:type="dxa"/>
            <w:shd w:val="clear" w:color="auto" w:fill="DEEAF6" w:themeFill="accent5" w:themeFillTint="33"/>
          </w:tcPr>
          <w:p w14:paraId="75B9C152" w14:textId="1846AEAC" w:rsidR="00CD5E33" w:rsidRDefault="00CD5E33" w:rsidP="002E124C">
            <w:pPr>
              <w:pStyle w:val="Odstavecseseznamem"/>
              <w:ind w:left="0"/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1</w:t>
            </w:r>
          </w:p>
        </w:tc>
        <w:tc>
          <w:tcPr>
            <w:tcW w:w="2211" w:type="dxa"/>
            <w:shd w:val="clear" w:color="auto" w:fill="DEEAF6" w:themeFill="accent5" w:themeFillTint="33"/>
          </w:tcPr>
          <w:p w14:paraId="723A505C" w14:textId="01EF2EB8" w:rsidR="00CD5E33" w:rsidRDefault="00CD5E33" w:rsidP="002E124C">
            <w:pPr>
              <w:pStyle w:val="Odstavecseseznamem"/>
              <w:ind w:left="0"/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protokolární předání základního konceptu projektu</w:t>
            </w:r>
            <w:r w:rsidR="00851C93">
              <w:rPr>
                <w:rFonts w:cstheme="minorHAnsi"/>
              </w:rPr>
              <w:t xml:space="preserve"> k širšímu projednání </w:t>
            </w:r>
          </w:p>
        </w:tc>
        <w:tc>
          <w:tcPr>
            <w:tcW w:w="2086" w:type="dxa"/>
            <w:shd w:val="clear" w:color="auto" w:fill="DEEAF6" w:themeFill="accent5" w:themeFillTint="33"/>
          </w:tcPr>
          <w:p w14:paraId="4229D714" w14:textId="58C6EBD1" w:rsidR="00CD5E33" w:rsidRDefault="00CD5E33" w:rsidP="002E124C">
            <w:pPr>
              <w:pStyle w:val="Odstavecseseznamem"/>
              <w:ind w:left="0"/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do 14 týdnů od nabytí účinnosti smlouvy</w:t>
            </w:r>
          </w:p>
        </w:tc>
        <w:tc>
          <w:tcPr>
            <w:tcW w:w="3425" w:type="dxa"/>
            <w:shd w:val="clear" w:color="auto" w:fill="DEEAF6" w:themeFill="accent5" w:themeFillTint="33"/>
          </w:tcPr>
          <w:p w14:paraId="5A2CE544" w14:textId="478FA60F" w:rsidR="00CD5E33" w:rsidRDefault="00851C93" w:rsidP="002E124C">
            <w:pPr>
              <w:pStyle w:val="Odstavecseseznamem"/>
              <w:ind w:left="0"/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bez zálohy</w:t>
            </w:r>
          </w:p>
        </w:tc>
      </w:tr>
      <w:tr w:rsidR="00CD5E33" w14:paraId="7154C9D8" w14:textId="77777777" w:rsidTr="008B653B">
        <w:trPr>
          <w:trHeight w:val="1144"/>
        </w:trPr>
        <w:tc>
          <w:tcPr>
            <w:tcW w:w="2223" w:type="dxa"/>
            <w:vMerge/>
            <w:shd w:val="clear" w:color="auto" w:fill="DEEAF6" w:themeFill="accent5" w:themeFillTint="33"/>
          </w:tcPr>
          <w:p w14:paraId="30073EB9" w14:textId="77777777" w:rsidR="00CD5E33" w:rsidRDefault="00CD5E33" w:rsidP="002E124C">
            <w:pPr>
              <w:pStyle w:val="Odstavecseseznamem"/>
              <w:ind w:left="0"/>
              <w:jc w:val="both"/>
              <w:rPr>
                <w:rFonts w:cstheme="minorHAnsi"/>
              </w:rPr>
            </w:pPr>
          </w:p>
        </w:tc>
        <w:tc>
          <w:tcPr>
            <w:tcW w:w="440" w:type="dxa"/>
            <w:shd w:val="clear" w:color="auto" w:fill="DEEAF6" w:themeFill="accent5" w:themeFillTint="33"/>
          </w:tcPr>
          <w:p w14:paraId="20FE0FFB" w14:textId="2BA0A0ED" w:rsidR="00CD5E33" w:rsidRDefault="00CD5E33" w:rsidP="002E124C">
            <w:pPr>
              <w:pStyle w:val="Odstavecseseznamem"/>
              <w:ind w:left="0"/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2</w:t>
            </w:r>
          </w:p>
        </w:tc>
        <w:tc>
          <w:tcPr>
            <w:tcW w:w="2211" w:type="dxa"/>
            <w:shd w:val="clear" w:color="auto" w:fill="DEEAF6" w:themeFill="accent5" w:themeFillTint="33"/>
          </w:tcPr>
          <w:p w14:paraId="4DB7E2AE" w14:textId="456A8A80" w:rsidR="00CD5E33" w:rsidRDefault="00EA09DC" w:rsidP="002E124C">
            <w:pPr>
              <w:pStyle w:val="Odstavecseseznamem"/>
              <w:ind w:left="0"/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 xml:space="preserve">finální </w:t>
            </w:r>
            <w:r w:rsidR="00851C93">
              <w:rPr>
                <w:rFonts w:cstheme="minorHAnsi"/>
              </w:rPr>
              <w:t>schválení základního konceptu</w:t>
            </w:r>
          </w:p>
        </w:tc>
        <w:tc>
          <w:tcPr>
            <w:tcW w:w="2086" w:type="dxa"/>
            <w:shd w:val="clear" w:color="auto" w:fill="DEEAF6" w:themeFill="accent5" w:themeFillTint="33"/>
          </w:tcPr>
          <w:p w14:paraId="22800687" w14:textId="23503C53" w:rsidR="00CD5E33" w:rsidRDefault="00851C93" w:rsidP="002E124C">
            <w:pPr>
              <w:pStyle w:val="Odstavecseseznamem"/>
              <w:ind w:left="0"/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bez termínu</w:t>
            </w:r>
          </w:p>
        </w:tc>
        <w:tc>
          <w:tcPr>
            <w:tcW w:w="3425" w:type="dxa"/>
            <w:shd w:val="clear" w:color="auto" w:fill="DEEAF6" w:themeFill="accent5" w:themeFillTint="33"/>
          </w:tcPr>
          <w:p w14:paraId="2487304D" w14:textId="5826FE3D" w:rsidR="00CD5E33" w:rsidRDefault="00851C93" w:rsidP="002E124C">
            <w:pPr>
              <w:pStyle w:val="Odstavecseseznamem"/>
              <w:ind w:left="0"/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bez zálohy</w:t>
            </w:r>
          </w:p>
        </w:tc>
      </w:tr>
      <w:tr w:rsidR="00CD5E33" w14:paraId="505F9B4A" w14:textId="77777777" w:rsidTr="008B653B">
        <w:trPr>
          <w:trHeight w:val="1144"/>
        </w:trPr>
        <w:tc>
          <w:tcPr>
            <w:tcW w:w="2223" w:type="dxa"/>
            <w:vMerge/>
            <w:shd w:val="clear" w:color="auto" w:fill="DEEAF6" w:themeFill="accent5" w:themeFillTint="33"/>
          </w:tcPr>
          <w:p w14:paraId="633D45AF" w14:textId="77777777" w:rsidR="00CD5E33" w:rsidRDefault="00CD5E33" w:rsidP="002E124C">
            <w:pPr>
              <w:pStyle w:val="Odstavecseseznamem"/>
              <w:ind w:left="0"/>
              <w:jc w:val="both"/>
              <w:rPr>
                <w:rFonts w:cstheme="minorHAnsi"/>
              </w:rPr>
            </w:pPr>
          </w:p>
        </w:tc>
        <w:tc>
          <w:tcPr>
            <w:tcW w:w="440" w:type="dxa"/>
            <w:shd w:val="clear" w:color="auto" w:fill="DEEAF6" w:themeFill="accent5" w:themeFillTint="33"/>
          </w:tcPr>
          <w:p w14:paraId="40A72B88" w14:textId="7A4A3361" w:rsidR="00CD5E33" w:rsidRDefault="00CD5E33" w:rsidP="002E124C">
            <w:pPr>
              <w:pStyle w:val="Odstavecseseznamem"/>
              <w:ind w:left="0"/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3</w:t>
            </w:r>
          </w:p>
        </w:tc>
        <w:tc>
          <w:tcPr>
            <w:tcW w:w="2211" w:type="dxa"/>
            <w:shd w:val="clear" w:color="auto" w:fill="DEEAF6" w:themeFill="accent5" w:themeFillTint="33"/>
          </w:tcPr>
          <w:p w14:paraId="683DDBE4" w14:textId="3345830A" w:rsidR="00CD5E33" w:rsidRDefault="00CD5E33" w:rsidP="002E124C">
            <w:pPr>
              <w:pStyle w:val="Odstavecseseznamem"/>
              <w:ind w:left="0"/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 xml:space="preserve">protokolární předání čistopisu projektové dokumentace, včetně souhrnného rozpočtu </w:t>
            </w:r>
          </w:p>
        </w:tc>
        <w:tc>
          <w:tcPr>
            <w:tcW w:w="2086" w:type="dxa"/>
            <w:shd w:val="clear" w:color="auto" w:fill="DEEAF6" w:themeFill="accent5" w:themeFillTint="33"/>
          </w:tcPr>
          <w:p w14:paraId="2829B1B7" w14:textId="0AF9C94A" w:rsidR="00CD5E33" w:rsidRDefault="00CD5E33" w:rsidP="002E124C">
            <w:pPr>
              <w:pStyle w:val="Odstavecseseznamem"/>
              <w:ind w:left="0"/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 xml:space="preserve">do </w:t>
            </w:r>
            <w:r w:rsidR="00851C93">
              <w:rPr>
                <w:rFonts w:cstheme="minorHAnsi"/>
              </w:rPr>
              <w:t xml:space="preserve">12 </w:t>
            </w:r>
            <w:r>
              <w:rPr>
                <w:rFonts w:cstheme="minorHAnsi"/>
              </w:rPr>
              <w:t xml:space="preserve">týdnů od </w:t>
            </w:r>
            <w:r w:rsidR="00D64B04">
              <w:rPr>
                <w:rFonts w:cstheme="minorHAnsi"/>
              </w:rPr>
              <w:t xml:space="preserve">doručení informace o </w:t>
            </w:r>
            <w:r w:rsidR="00851C93">
              <w:rPr>
                <w:rFonts w:cstheme="minorHAnsi"/>
              </w:rPr>
              <w:t>schválení základního konceptu</w:t>
            </w:r>
            <w:r w:rsidR="00D64B04">
              <w:rPr>
                <w:rFonts w:cstheme="minorHAnsi"/>
              </w:rPr>
              <w:t xml:space="preserve"> zhotoviteli</w:t>
            </w:r>
          </w:p>
        </w:tc>
        <w:tc>
          <w:tcPr>
            <w:tcW w:w="3425" w:type="dxa"/>
            <w:shd w:val="clear" w:color="auto" w:fill="DEEAF6" w:themeFill="accent5" w:themeFillTint="33"/>
          </w:tcPr>
          <w:p w14:paraId="629384EE" w14:textId="2BABC518" w:rsidR="00CD5E33" w:rsidRDefault="00851C93" w:rsidP="002E124C">
            <w:pPr>
              <w:pStyle w:val="Odstavecseseznamem"/>
              <w:ind w:left="0"/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bez zálohy</w:t>
            </w:r>
          </w:p>
        </w:tc>
      </w:tr>
      <w:tr w:rsidR="00CD5E33" w14:paraId="0DEDDF66" w14:textId="77777777" w:rsidTr="008B653B">
        <w:trPr>
          <w:trHeight w:val="1144"/>
        </w:trPr>
        <w:tc>
          <w:tcPr>
            <w:tcW w:w="2223" w:type="dxa"/>
            <w:vMerge/>
            <w:shd w:val="clear" w:color="auto" w:fill="DEEAF6" w:themeFill="accent5" w:themeFillTint="33"/>
          </w:tcPr>
          <w:p w14:paraId="5D5E0E34" w14:textId="77777777" w:rsidR="00CD5E33" w:rsidRDefault="00CD5E33" w:rsidP="002E124C">
            <w:pPr>
              <w:pStyle w:val="Odstavecseseznamem"/>
              <w:ind w:left="0"/>
              <w:jc w:val="both"/>
              <w:rPr>
                <w:rFonts w:cstheme="minorHAnsi"/>
              </w:rPr>
            </w:pPr>
          </w:p>
        </w:tc>
        <w:tc>
          <w:tcPr>
            <w:tcW w:w="440" w:type="dxa"/>
            <w:shd w:val="clear" w:color="auto" w:fill="DEEAF6" w:themeFill="accent5" w:themeFillTint="33"/>
          </w:tcPr>
          <w:p w14:paraId="7C53D387" w14:textId="799FFA5B" w:rsidR="00CD5E33" w:rsidRDefault="00CD5E33" w:rsidP="002E124C">
            <w:pPr>
              <w:pStyle w:val="Odstavecseseznamem"/>
              <w:ind w:left="0"/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4</w:t>
            </w:r>
          </w:p>
        </w:tc>
        <w:tc>
          <w:tcPr>
            <w:tcW w:w="2211" w:type="dxa"/>
            <w:shd w:val="clear" w:color="auto" w:fill="DEEAF6" w:themeFill="accent5" w:themeFillTint="33"/>
          </w:tcPr>
          <w:p w14:paraId="36E6DECD" w14:textId="77B4FFCF" w:rsidR="00CD5E33" w:rsidRDefault="00CD5E33" w:rsidP="002E124C">
            <w:pPr>
              <w:pStyle w:val="Odstavecseseznamem"/>
              <w:ind w:left="0"/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 xml:space="preserve">zajištění </w:t>
            </w:r>
            <w:r w:rsidR="00851C93">
              <w:rPr>
                <w:rFonts w:cstheme="minorHAnsi"/>
              </w:rPr>
              <w:t>povolení záměru</w:t>
            </w:r>
            <w:r>
              <w:rPr>
                <w:rFonts w:cstheme="minorHAnsi"/>
              </w:rPr>
              <w:t xml:space="preserve"> v právní moci</w:t>
            </w:r>
          </w:p>
        </w:tc>
        <w:tc>
          <w:tcPr>
            <w:tcW w:w="2086" w:type="dxa"/>
            <w:shd w:val="clear" w:color="auto" w:fill="DEEAF6" w:themeFill="accent5" w:themeFillTint="33"/>
          </w:tcPr>
          <w:p w14:paraId="51FE2295" w14:textId="3B6AAD93" w:rsidR="00CD5E33" w:rsidRDefault="00CD5E33" w:rsidP="002E124C">
            <w:pPr>
              <w:pStyle w:val="Odstavecseseznamem"/>
              <w:ind w:left="0"/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 xml:space="preserve">do </w:t>
            </w:r>
            <w:r w:rsidR="00851C93">
              <w:rPr>
                <w:rFonts w:cstheme="minorHAnsi"/>
              </w:rPr>
              <w:t xml:space="preserve">12 </w:t>
            </w:r>
            <w:r>
              <w:rPr>
                <w:rFonts w:cstheme="minorHAnsi"/>
              </w:rPr>
              <w:t xml:space="preserve">týdnů </w:t>
            </w:r>
            <w:r w:rsidR="00142302">
              <w:rPr>
                <w:rFonts w:cstheme="minorHAnsi"/>
              </w:rPr>
              <w:t>od doručení</w:t>
            </w:r>
            <w:r w:rsidR="00D64B04">
              <w:rPr>
                <w:rFonts w:cstheme="minorHAnsi"/>
              </w:rPr>
              <w:t xml:space="preserve"> informace o schválení základního konceptu zhotoviteli</w:t>
            </w:r>
          </w:p>
        </w:tc>
        <w:tc>
          <w:tcPr>
            <w:tcW w:w="3425" w:type="dxa"/>
            <w:shd w:val="clear" w:color="auto" w:fill="DEEAF6" w:themeFill="accent5" w:themeFillTint="33"/>
          </w:tcPr>
          <w:p w14:paraId="1D818C3E" w14:textId="2B8BF512" w:rsidR="00CD5E33" w:rsidRDefault="00CD5E33" w:rsidP="002E124C">
            <w:pPr>
              <w:pStyle w:val="Odstavecseseznamem"/>
              <w:ind w:left="0"/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konečná faktura na cenu části díla I</w:t>
            </w:r>
          </w:p>
        </w:tc>
      </w:tr>
      <w:tr w:rsidR="00ED43A0" w14:paraId="5C9966BA" w14:textId="77777777" w:rsidTr="008B653B">
        <w:trPr>
          <w:trHeight w:val="1144"/>
        </w:trPr>
        <w:tc>
          <w:tcPr>
            <w:tcW w:w="2223" w:type="dxa"/>
            <w:vMerge w:val="restart"/>
            <w:shd w:val="clear" w:color="auto" w:fill="DEEAF6" w:themeFill="accent5" w:themeFillTint="33"/>
          </w:tcPr>
          <w:p w14:paraId="1A970198" w14:textId="06BB8949" w:rsidR="00ED43A0" w:rsidRPr="00066E57" w:rsidRDefault="00ED43A0" w:rsidP="00817B88">
            <w:pPr>
              <w:pStyle w:val="Odstavecseseznamem"/>
              <w:ind w:left="0"/>
              <w:jc w:val="both"/>
              <w:rPr>
                <w:rFonts w:cstheme="minorHAnsi"/>
                <w:b/>
              </w:rPr>
            </w:pPr>
            <w:r w:rsidRPr="00066E57">
              <w:rPr>
                <w:rFonts w:cstheme="minorHAnsi"/>
                <w:b/>
              </w:rPr>
              <w:t>ČÁST II –realizace</w:t>
            </w:r>
          </w:p>
        </w:tc>
        <w:tc>
          <w:tcPr>
            <w:tcW w:w="440" w:type="dxa"/>
            <w:shd w:val="clear" w:color="auto" w:fill="DEEAF6" w:themeFill="accent5" w:themeFillTint="33"/>
          </w:tcPr>
          <w:p w14:paraId="2E24DB4B" w14:textId="483F1CE9" w:rsidR="00ED43A0" w:rsidDel="00AD5610" w:rsidRDefault="00ED43A0" w:rsidP="002E124C">
            <w:pPr>
              <w:pStyle w:val="Odstavecseseznamem"/>
              <w:ind w:left="0"/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211" w:type="dxa"/>
            <w:shd w:val="clear" w:color="auto" w:fill="DEEAF6" w:themeFill="accent5" w:themeFillTint="33"/>
          </w:tcPr>
          <w:p w14:paraId="56FD9321" w14:textId="5DCDB6DA" w:rsidR="00ED43A0" w:rsidRDefault="00ED43A0" w:rsidP="002E124C">
            <w:pPr>
              <w:pStyle w:val="Odstavecseseznamem"/>
              <w:ind w:left="0"/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zahájení plnění</w:t>
            </w:r>
          </w:p>
        </w:tc>
        <w:tc>
          <w:tcPr>
            <w:tcW w:w="2086" w:type="dxa"/>
            <w:shd w:val="clear" w:color="auto" w:fill="DEEAF6" w:themeFill="accent5" w:themeFillTint="33"/>
          </w:tcPr>
          <w:p w14:paraId="59022C62" w14:textId="15735B55" w:rsidR="00ED43A0" w:rsidDel="00AD5610" w:rsidRDefault="00ED43A0" w:rsidP="002E124C">
            <w:pPr>
              <w:pStyle w:val="Odstavecseseznamem"/>
              <w:ind w:left="0"/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 xml:space="preserve">po nabytí právní moci </w:t>
            </w:r>
            <w:r w:rsidR="0097628F">
              <w:rPr>
                <w:rFonts w:cstheme="minorHAnsi"/>
              </w:rPr>
              <w:t>povolení záměru</w:t>
            </w:r>
          </w:p>
        </w:tc>
        <w:tc>
          <w:tcPr>
            <w:tcW w:w="3425" w:type="dxa"/>
            <w:shd w:val="clear" w:color="auto" w:fill="DEEAF6" w:themeFill="accent5" w:themeFillTint="33"/>
          </w:tcPr>
          <w:p w14:paraId="436D8BCF" w14:textId="467F30AB" w:rsidR="00ED43A0" w:rsidRDefault="00ED43A0" w:rsidP="002E124C">
            <w:pPr>
              <w:pStyle w:val="Odstavecseseznamem"/>
              <w:ind w:left="0"/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bez zálohy</w:t>
            </w:r>
          </w:p>
        </w:tc>
      </w:tr>
      <w:tr w:rsidR="00ED43A0" w14:paraId="79BFDFE5" w14:textId="77777777" w:rsidTr="008B653B">
        <w:trPr>
          <w:trHeight w:val="1144"/>
        </w:trPr>
        <w:tc>
          <w:tcPr>
            <w:tcW w:w="2223" w:type="dxa"/>
            <w:vMerge/>
            <w:shd w:val="clear" w:color="auto" w:fill="DEEAF6" w:themeFill="accent5" w:themeFillTint="33"/>
          </w:tcPr>
          <w:p w14:paraId="7ED5573F" w14:textId="56EABF58" w:rsidR="00ED43A0" w:rsidRPr="00066E57" w:rsidRDefault="00ED43A0" w:rsidP="002E124C">
            <w:pPr>
              <w:pStyle w:val="Odstavecseseznamem"/>
              <w:ind w:left="0"/>
              <w:jc w:val="both"/>
              <w:rPr>
                <w:rFonts w:cstheme="minorHAnsi"/>
                <w:b/>
              </w:rPr>
            </w:pPr>
          </w:p>
        </w:tc>
        <w:tc>
          <w:tcPr>
            <w:tcW w:w="440" w:type="dxa"/>
            <w:shd w:val="clear" w:color="auto" w:fill="DEEAF6" w:themeFill="accent5" w:themeFillTint="33"/>
          </w:tcPr>
          <w:p w14:paraId="59810545" w14:textId="6847FCDA" w:rsidR="00ED43A0" w:rsidRDefault="00ED43A0" w:rsidP="002E124C">
            <w:pPr>
              <w:pStyle w:val="Odstavecseseznamem"/>
              <w:ind w:left="0"/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1</w:t>
            </w:r>
          </w:p>
        </w:tc>
        <w:tc>
          <w:tcPr>
            <w:tcW w:w="2211" w:type="dxa"/>
            <w:shd w:val="clear" w:color="auto" w:fill="DEEAF6" w:themeFill="accent5" w:themeFillTint="33"/>
          </w:tcPr>
          <w:p w14:paraId="45B40BCC" w14:textId="00EA0D31" w:rsidR="00ED43A0" w:rsidRDefault="00ED43A0" w:rsidP="002E124C">
            <w:pPr>
              <w:pStyle w:val="Odstavecseseznamem"/>
              <w:ind w:left="0"/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 xml:space="preserve">protokolární předání/převzetí staveniště </w:t>
            </w:r>
          </w:p>
        </w:tc>
        <w:tc>
          <w:tcPr>
            <w:tcW w:w="2086" w:type="dxa"/>
            <w:shd w:val="clear" w:color="auto" w:fill="DEEAF6" w:themeFill="accent5" w:themeFillTint="33"/>
          </w:tcPr>
          <w:p w14:paraId="273561E2" w14:textId="05838EDE" w:rsidR="00ED43A0" w:rsidRDefault="005F29FD" w:rsidP="002E124C">
            <w:pPr>
              <w:pStyle w:val="Odstavecseseznamem"/>
              <w:ind w:left="0"/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bez termínu</w:t>
            </w:r>
          </w:p>
        </w:tc>
        <w:tc>
          <w:tcPr>
            <w:tcW w:w="3425" w:type="dxa"/>
            <w:shd w:val="clear" w:color="auto" w:fill="DEEAF6" w:themeFill="accent5" w:themeFillTint="33"/>
          </w:tcPr>
          <w:p w14:paraId="45F8ED99" w14:textId="2DB6E4AE" w:rsidR="00ED43A0" w:rsidRDefault="00ED43A0" w:rsidP="002E124C">
            <w:pPr>
              <w:pStyle w:val="Odstavecseseznamem"/>
              <w:ind w:left="0"/>
              <w:jc w:val="both"/>
              <w:rPr>
                <w:rFonts w:cstheme="minorHAnsi"/>
              </w:rPr>
            </w:pPr>
            <w:bookmarkStart w:id="0" w:name="_Hlk190165413"/>
            <w:r>
              <w:rPr>
                <w:rFonts w:cstheme="minorHAnsi"/>
              </w:rPr>
              <w:t xml:space="preserve">záloha na žádost dodavatele po protokolárním předání staveniště, max. </w:t>
            </w:r>
            <w:r w:rsidR="000E50A6">
              <w:rPr>
                <w:rFonts w:cstheme="minorHAnsi"/>
              </w:rPr>
              <w:t>2</w:t>
            </w:r>
            <w:r w:rsidR="005F29FD">
              <w:rPr>
                <w:rFonts w:cstheme="minorHAnsi"/>
              </w:rPr>
              <w:t xml:space="preserve">0 </w:t>
            </w:r>
            <w:r>
              <w:rPr>
                <w:rFonts w:cstheme="minorHAnsi"/>
              </w:rPr>
              <w:t>% z ceny části díla II</w:t>
            </w:r>
            <w:bookmarkStart w:id="1" w:name="_GoBack"/>
            <w:bookmarkEnd w:id="0"/>
            <w:bookmarkEnd w:id="1"/>
          </w:p>
        </w:tc>
      </w:tr>
      <w:tr w:rsidR="00ED43A0" w14:paraId="11440A42" w14:textId="77777777" w:rsidTr="008B653B">
        <w:trPr>
          <w:trHeight w:val="1144"/>
        </w:trPr>
        <w:tc>
          <w:tcPr>
            <w:tcW w:w="2223" w:type="dxa"/>
            <w:vMerge/>
            <w:shd w:val="clear" w:color="auto" w:fill="DEEAF6" w:themeFill="accent5" w:themeFillTint="33"/>
          </w:tcPr>
          <w:p w14:paraId="49E772C9" w14:textId="77777777" w:rsidR="00ED43A0" w:rsidRDefault="00ED43A0" w:rsidP="002E124C">
            <w:pPr>
              <w:pStyle w:val="Odstavecseseznamem"/>
              <w:ind w:left="0"/>
              <w:jc w:val="both"/>
              <w:rPr>
                <w:rFonts w:cstheme="minorHAnsi"/>
              </w:rPr>
            </w:pPr>
          </w:p>
        </w:tc>
        <w:tc>
          <w:tcPr>
            <w:tcW w:w="440" w:type="dxa"/>
            <w:shd w:val="clear" w:color="auto" w:fill="DEEAF6" w:themeFill="accent5" w:themeFillTint="33"/>
          </w:tcPr>
          <w:p w14:paraId="4F2B5FC9" w14:textId="13F3AA5A" w:rsidR="00ED43A0" w:rsidRDefault="005F29FD" w:rsidP="002E124C">
            <w:pPr>
              <w:pStyle w:val="Odstavecseseznamem"/>
              <w:ind w:left="0"/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2</w:t>
            </w:r>
          </w:p>
        </w:tc>
        <w:tc>
          <w:tcPr>
            <w:tcW w:w="2211" w:type="dxa"/>
            <w:shd w:val="clear" w:color="auto" w:fill="DEEAF6" w:themeFill="accent5" w:themeFillTint="33"/>
          </w:tcPr>
          <w:p w14:paraId="4E0688E5" w14:textId="3D14258F" w:rsidR="00ED43A0" w:rsidRDefault="00ED43A0" w:rsidP="002E124C">
            <w:pPr>
              <w:pStyle w:val="Odstavecseseznamem"/>
              <w:ind w:left="0"/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 xml:space="preserve">protokolární předání </w:t>
            </w:r>
            <w:r w:rsidR="00061739">
              <w:rPr>
                <w:rFonts w:cstheme="minorHAnsi"/>
              </w:rPr>
              <w:t>a převzetí díla</w:t>
            </w:r>
          </w:p>
        </w:tc>
        <w:tc>
          <w:tcPr>
            <w:tcW w:w="2086" w:type="dxa"/>
            <w:shd w:val="clear" w:color="auto" w:fill="DEEAF6" w:themeFill="accent5" w:themeFillTint="33"/>
          </w:tcPr>
          <w:p w14:paraId="6BBEA217" w14:textId="3F29C9E2" w:rsidR="00ED43A0" w:rsidRDefault="005F29FD" w:rsidP="002E124C">
            <w:pPr>
              <w:pStyle w:val="Odstavecseseznamem"/>
              <w:ind w:left="0"/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do 31.10.2027</w:t>
            </w:r>
          </w:p>
        </w:tc>
        <w:tc>
          <w:tcPr>
            <w:tcW w:w="3425" w:type="dxa"/>
            <w:shd w:val="clear" w:color="auto" w:fill="DEEAF6" w:themeFill="accent5" w:themeFillTint="33"/>
          </w:tcPr>
          <w:p w14:paraId="0B5D3196" w14:textId="48F1C0C5" w:rsidR="00ED43A0" w:rsidRDefault="00ED43A0" w:rsidP="002E124C">
            <w:pPr>
              <w:pStyle w:val="Odstavecseseznamem"/>
              <w:ind w:left="0"/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konečná faktura na cenu části díla II</w:t>
            </w:r>
          </w:p>
        </w:tc>
      </w:tr>
    </w:tbl>
    <w:p w14:paraId="5FCA804A" w14:textId="606E8476" w:rsidR="00455971" w:rsidRDefault="00455971" w:rsidP="00265A23">
      <w:pPr>
        <w:pStyle w:val="Odstavecseseznamem"/>
        <w:ind w:left="-426"/>
        <w:jc w:val="both"/>
        <w:rPr>
          <w:rFonts w:cstheme="minorHAnsi"/>
        </w:rPr>
      </w:pPr>
    </w:p>
    <w:p w14:paraId="0ADC804E" w14:textId="77777777" w:rsidR="00455971" w:rsidRDefault="00455971">
      <w:pPr>
        <w:spacing w:after="0" w:line="240" w:lineRule="auto"/>
        <w:rPr>
          <w:rFonts w:asciiTheme="minorHAnsi" w:eastAsiaTheme="minorHAnsi" w:hAnsiTheme="minorHAnsi" w:cstheme="minorHAnsi"/>
        </w:rPr>
      </w:pPr>
      <w:r>
        <w:rPr>
          <w:rFonts w:cstheme="minorHAnsi"/>
        </w:rPr>
        <w:br w:type="page"/>
      </w:r>
    </w:p>
    <w:p w14:paraId="685E66C9" w14:textId="62ECD43A" w:rsidR="00F77F3E" w:rsidRPr="00FE71FC" w:rsidRDefault="00F77F3E" w:rsidP="00F77F3E">
      <w:pPr>
        <w:rPr>
          <w:rFonts w:asciiTheme="minorHAnsi" w:eastAsia="Calibri" w:hAnsiTheme="minorHAnsi" w:cs="Calibri"/>
          <w:b/>
          <w:color w:val="002060"/>
          <w:sz w:val="32"/>
          <w:szCs w:val="32"/>
        </w:rPr>
      </w:pPr>
      <w:r w:rsidRPr="00FE71FC">
        <w:rPr>
          <w:rFonts w:asciiTheme="minorHAnsi" w:eastAsia="Calibri" w:hAnsiTheme="minorHAnsi" w:cs="Calibri"/>
          <w:b/>
          <w:color w:val="002060"/>
          <w:sz w:val="32"/>
          <w:szCs w:val="32"/>
        </w:rPr>
        <w:lastRenderedPageBreak/>
        <w:t xml:space="preserve">ČÁST I. – </w:t>
      </w:r>
      <w:r w:rsidR="00142302">
        <w:rPr>
          <w:rFonts w:asciiTheme="minorHAnsi" w:eastAsia="Calibri" w:hAnsiTheme="minorHAnsi" w:cs="Calibri"/>
          <w:b/>
          <w:color w:val="002060"/>
          <w:sz w:val="32"/>
          <w:szCs w:val="32"/>
        </w:rPr>
        <w:t>DSP – zpracování</w:t>
      </w:r>
      <w:r w:rsidRPr="00294656">
        <w:rPr>
          <w:rFonts w:asciiTheme="minorHAnsi" w:eastAsia="Calibri" w:hAnsiTheme="minorHAnsi" w:cs="Calibri"/>
          <w:b/>
          <w:color w:val="002060"/>
          <w:sz w:val="32"/>
          <w:szCs w:val="32"/>
        </w:rPr>
        <w:t xml:space="preserve"> dokumentace pro povolení stavby včetně zajištění povolení </w:t>
      </w:r>
      <w:r w:rsidR="004F1690">
        <w:rPr>
          <w:rFonts w:asciiTheme="minorHAnsi" w:eastAsia="Calibri" w:hAnsiTheme="minorHAnsi" w:cs="Calibri"/>
          <w:b/>
          <w:color w:val="002060"/>
          <w:sz w:val="32"/>
          <w:szCs w:val="32"/>
        </w:rPr>
        <w:t>záměru</w:t>
      </w:r>
    </w:p>
    <w:p w14:paraId="44D83116" w14:textId="3E7B9928" w:rsidR="002A774B" w:rsidRDefault="002A774B" w:rsidP="002A774B">
      <w:pPr>
        <w:jc w:val="both"/>
        <w:rPr>
          <w:rFonts w:asciiTheme="minorHAnsi" w:eastAsia="Poppins" w:hAnsiTheme="minorHAnsi" w:cs="Calibri"/>
        </w:rPr>
      </w:pPr>
      <w:r w:rsidRPr="00226578">
        <w:rPr>
          <w:rFonts w:asciiTheme="minorHAnsi" w:eastAsia="Poppins" w:hAnsiTheme="minorHAnsi" w:cs="Calibri"/>
        </w:rPr>
        <w:t>Dokumentace pro povolení stavby bude zpracována v rozsahu daném legislativou</w:t>
      </w:r>
      <w:r>
        <w:rPr>
          <w:rFonts w:asciiTheme="minorHAnsi" w:eastAsia="Poppins" w:hAnsiTheme="minorHAnsi" w:cs="Calibri"/>
        </w:rPr>
        <w:t>, zejména s vyhláškou</w:t>
      </w:r>
      <w:r w:rsidRPr="00226578">
        <w:rPr>
          <w:rFonts w:asciiTheme="minorHAnsi" w:eastAsia="Poppins" w:hAnsiTheme="minorHAnsi" w:cs="Calibri"/>
        </w:rPr>
        <w:t xml:space="preserve"> č.</w:t>
      </w:r>
      <w:r>
        <w:rPr>
          <w:rFonts w:asciiTheme="minorHAnsi" w:eastAsia="Poppins" w:hAnsiTheme="minorHAnsi" w:cs="Calibri"/>
        </w:rPr>
        <w:t> 131</w:t>
      </w:r>
      <w:r w:rsidRPr="00226578">
        <w:rPr>
          <w:rFonts w:asciiTheme="minorHAnsi" w:eastAsia="Poppins" w:hAnsiTheme="minorHAnsi" w:cs="Calibri"/>
        </w:rPr>
        <w:t>/2</w:t>
      </w:r>
      <w:r>
        <w:rPr>
          <w:rFonts w:asciiTheme="minorHAnsi" w:eastAsia="Poppins" w:hAnsiTheme="minorHAnsi" w:cs="Calibri"/>
        </w:rPr>
        <w:t>024</w:t>
      </w:r>
      <w:r w:rsidRPr="00226578">
        <w:rPr>
          <w:rFonts w:asciiTheme="minorHAnsi" w:eastAsia="Poppins" w:hAnsiTheme="minorHAnsi" w:cs="Calibri"/>
        </w:rPr>
        <w:t xml:space="preserve"> Sb., o dokumentaci staveb v platném znění.</w:t>
      </w:r>
    </w:p>
    <w:p w14:paraId="5F4EAD62" w14:textId="0DF52CBF" w:rsidR="00F77F3E" w:rsidRDefault="002A774B" w:rsidP="002A774B">
      <w:pPr>
        <w:spacing w:after="0" w:line="240" w:lineRule="auto"/>
        <w:jc w:val="both"/>
        <w:rPr>
          <w:rFonts w:asciiTheme="minorHAnsi" w:eastAsia="Poppins" w:hAnsiTheme="minorHAnsi" w:cs="Calibri"/>
        </w:rPr>
      </w:pPr>
      <w:r w:rsidRPr="00226578">
        <w:rPr>
          <w:rFonts w:asciiTheme="minorHAnsi" w:eastAsia="Poppins" w:hAnsiTheme="minorHAnsi" w:cs="Calibri"/>
        </w:rPr>
        <w:t>Součástí projektové dokumentace budou veškeré stavební objekty, které bude nutno zrealizovat pro bezchybné fungování projektu.</w:t>
      </w:r>
    </w:p>
    <w:p w14:paraId="11C243ED" w14:textId="77777777" w:rsidR="002A774B" w:rsidRDefault="002A774B" w:rsidP="002A774B">
      <w:pPr>
        <w:spacing w:after="0" w:line="240" w:lineRule="auto"/>
        <w:jc w:val="both"/>
        <w:rPr>
          <w:rFonts w:asciiTheme="minorHAnsi" w:hAnsiTheme="minorHAnsi" w:cstheme="minorHAnsi"/>
          <w:b/>
        </w:rPr>
      </w:pPr>
    </w:p>
    <w:p w14:paraId="6B7BDE0E" w14:textId="3149B5C5" w:rsidR="005263E6" w:rsidRDefault="00265A23" w:rsidP="00A206C4">
      <w:pPr>
        <w:spacing w:after="0" w:line="240" w:lineRule="auto"/>
        <w:jc w:val="both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M</w:t>
      </w:r>
      <w:r w:rsidR="005263E6" w:rsidRPr="005263E6">
        <w:rPr>
          <w:rFonts w:asciiTheme="minorHAnsi" w:hAnsiTheme="minorHAnsi" w:cstheme="minorHAnsi"/>
          <w:b/>
        </w:rPr>
        <w:t xml:space="preserve">ilník 1 – </w:t>
      </w:r>
      <w:r w:rsidR="007846DA">
        <w:rPr>
          <w:rFonts w:asciiTheme="minorHAnsi" w:hAnsiTheme="minorHAnsi" w:cstheme="minorHAnsi"/>
          <w:b/>
        </w:rPr>
        <w:t>základní koncept</w:t>
      </w:r>
      <w:r w:rsidR="005263E6" w:rsidRPr="005263E6">
        <w:rPr>
          <w:rFonts w:asciiTheme="minorHAnsi" w:hAnsiTheme="minorHAnsi" w:cstheme="minorHAnsi"/>
          <w:b/>
        </w:rPr>
        <w:t xml:space="preserve"> </w:t>
      </w:r>
      <w:r w:rsidR="007846DA">
        <w:rPr>
          <w:rFonts w:asciiTheme="minorHAnsi" w:hAnsiTheme="minorHAnsi" w:cstheme="minorHAnsi"/>
          <w:b/>
        </w:rPr>
        <w:t>projektu</w:t>
      </w:r>
      <w:r w:rsidR="00455971">
        <w:rPr>
          <w:rFonts w:asciiTheme="minorHAnsi" w:hAnsiTheme="minorHAnsi" w:cstheme="minorHAnsi"/>
          <w:b/>
        </w:rPr>
        <w:t xml:space="preserve"> k širšímu projednání</w:t>
      </w:r>
    </w:p>
    <w:p w14:paraId="78FE331E" w14:textId="45C7B55A" w:rsidR="00DF0B06" w:rsidRDefault="00DF0B06" w:rsidP="00A206C4">
      <w:pPr>
        <w:spacing w:after="0" w:line="240" w:lineRule="auto"/>
        <w:jc w:val="both"/>
        <w:rPr>
          <w:rFonts w:asciiTheme="minorHAnsi" w:hAnsiTheme="minorHAnsi" w:cstheme="minorHAnsi"/>
          <w:b/>
        </w:rPr>
      </w:pPr>
    </w:p>
    <w:p w14:paraId="044F6A50" w14:textId="31D4E285" w:rsidR="00DF0B06" w:rsidRPr="00DF0B06" w:rsidRDefault="00DF0B06" w:rsidP="00DF0B06">
      <w:pPr>
        <w:spacing w:after="0" w:line="240" w:lineRule="auto"/>
        <w:jc w:val="both"/>
        <w:rPr>
          <w:rFonts w:asciiTheme="minorHAnsi" w:hAnsiTheme="minorHAnsi" w:cstheme="minorHAnsi"/>
        </w:rPr>
      </w:pPr>
      <w:r w:rsidRPr="00DF0B06">
        <w:rPr>
          <w:rFonts w:asciiTheme="minorHAnsi" w:hAnsiTheme="minorHAnsi" w:cstheme="minorHAnsi"/>
        </w:rPr>
        <w:t>Základní koncept projektu bude obsahovat vizualizace a návrhy designu, technickou specifikaci konstrukčních materiálů a technologií, dokumentace ochranných a bezpečnostních prvků a odhadované náklady.</w:t>
      </w:r>
      <w:r w:rsidR="00035523">
        <w:rPr>
          <w:rFonts w:asciiTheme="minorHAnsi" w:hAnsiTheme="minorHAnsi" w:cstheme="minorHAnsi"/>
        </w:rPr>
        <w:t xml:space="preserve"> Zhotovitel je povinen </w:t>
      </w:r>
      <w:r w:rsidR="00127B98">
        <w:rPr>
          <w:rFonts w:asciiTheme="minorHAnsi" w:hAnsiTheme="minorHAnsi" w:cstheme="minorHAnsi"/>
        </w:rPr>
        <w:t>vypracov</w:t>
      </w:r>
      <w:r w:rsidR="00A148EB">
        <w:rPr>
          <w:rFonts w:asciiTheme="minorHAnsi" w:hAnsiTheme="minorHAnsi" w:cstheme="minorHAnsi"/>
        </w:rPr>
        <w:t>at</w:t>
      </w:r>
      <w:r w:rsidR="00127B98">
        <w:rPr>
          <w:rFonts w:asciiTheme="minorHAnsi" w:hAnsiTheme="minorHAnsi" w:cstheme="minorHAnsi"/>
        </w:rPr>
        <w:t xml:space="preserve"> základní koncept projektu </w:t>
      </w:r>
      <w:r w:rsidR="00A148EB">
        <w:rPr>
          <w:rFonts w:asciiTheme="minorHAnsi" w:hAnsiTheme="minorHAnsi" w:cstheme="minorHAnsi"/>
        </w:rPr>
        <w:t xml:space="preserve">tak, aby </w:t>
      </w:r>
      <w:r w:rsidR="00127B98">
        <w:rPr>
          <w:rFonts w:asciiTheme="minorHAnsi" w:hAnsiTheme="minorHAnsi" w:cstheme="minorHAnsi"/>
        </w:rPr>
        <w:t xml:space="preserve">byly dodrženy všechny kritické požadavky </w:t>
      </w:r>
      <w:r w:rsidR="00A40464">
        <w:rPr>
          <w:rFonts w:asciiTheme="minorHAnsi" w:hAnsiTheme="minorHAnsi" w:cstheme="minorHAnsi"/>
        </w:rPr>
        <w:t>specifikované v</w:t>
      </w:r>
      <w:r w:rsidR="00455971">
        <w:rPr>
          <w:rFonts w:asciiTheme="minorHAnsi" w:hAnsiTheme="minorHAnsi" w:cstheme="minorHAnsi"/>
        </w:rPr>
        <w:t> Technické specifikaci, která je přílohou</w:t>
      </w:r>
      <w:r w:rsidR="00A40464">
        <w:rPr>
          <w:rFonts w:asciiTheme="minorHAnsi" w:hAnsiTheme="minorHAnsi" w:cstheme="minorHAnsi"/>
        </w:rPr>
        <w:t xml:space="preserve"> zadávací dokumentace</w:t>
      </w:r>
      <w:r w:rsidR="00455971">
        <w:rPr>
          <w:rFonts w:asciiTheme="minorHAnsi" w:hAnsiTheme="minorHAnsi" w:cstheme="minorHAnsi"/>
        </w:rPr>
        <w:t>,</w:t>
      </w:r>
      <w:r w:rsidR="00A40464">
        <w:rPr>
          <w:rFonts w:asciiTheme="minorHAnsi" w:hAnsiTheme="minorHAnsi" w:cstheme="minorHAnsi"/>
        </w:rPr>
        <w:t xml:space="preserve"> </w:t>
      </w:r>
      <w:r w:rsidR="00127B98">
        <w:rPr>
          <w:rFonts w:asciiTheme="minorHAnsi" w:hAnsiTheme="minorHAnsi" w:cstheme="minorHAnsi"/>
        </w:rPr>
        <w:t>včetně</w:t>
      </w:r>
      <w:r w:rsidR="00A40464">
        <w:rPr>
          <w:rFonts w:asciiTheme="minorHAnsi" w:hAnsiTheme="minorHAnsi" w:cstheme="minorHAnsi"/>
        </w:rPr>
        <w:t xml:space="preserve"> tam uvedených</w:t>
      </w:r>
      <w:r w:rsidR="00127B98">
        <w:rPr>
          <w:rFonts w:asciiTheme="minorHAnsi" w:hAnsiTheme="minorHAnsi" w:cstheme="minorHAnsi"/>
        </w:rPr>
        <w:t xml:space="preserve"> doporučených požadavků, které </w:t>
      </w:r>
      <w:r w:rsidR="00A40464">
        <w:rPr>
          <w:rFonts w:asciiTheme="minorHAnsi" w:hAnsiTheme="minorHAnsi" w:cstheme="minorHAnsi"/>
        </w:rPr>
        <w:t xml:space="preserve">se </w:t>
      </w:r>
      <w:r w:rsidR="00127B98">
        <w:rPr>
          <w:rFonts w:asciiTheme="minorHAnsi" w:hAnsiTheme="minorHAnsi" w:cstheme="minorHAnsi"/>
        </w:rPr>
        <w:t xml:space="preserve">zhotovitel </w:t>
      </w:r>
      <w:r w:rsidR="00A40464">
        <w:rPr>
          <w:rFonts w:asciiTheme="minorHAnsi" w:hAnsiTheme="minorHAnsi" w:cstheme="minorHAnsi"/>
        </w:rPr>
        <w:t>zavázal splnit v rámci nabídky</w:t>
      </w:r>
      <w:r w:rsidR="00127B98">
        <w:rPr>
          <w:rFonts w:asciiTheme="minorHAnsi" w:hAnsiTheme="minorHAnsi" w:cstheme="minorHAnsi"/>
        </w:rPr>
        <w:t>. Nedodržení těchto požadavků může být důvodem pro odstoupení od smlouvy objednatelem dle čl. X odst. 2 písm. d) této smlouvy.</w:t>
      </w:r>
    </w:p>
    <w:p w14:paraId="1F8F4E52" w14:textId="3C68CD2E" w:rsidR="00DF0B06" w:rsidRPr="00DF0B06" w:rsidRDefault="00DF0B06" w:rsidP="00DF0B06">
      <w:pPr>
        <w:spacing w:after="0" w:line="240" w:lineRule="auto"/>
        <w:jc w:val="both"/>
        <w:rPr>
          <w:rFonts w:asciiTheme="minorHAnsi" w:hAnsiTheme="minorHAnsi" w:cstheme="minorHAnsi"/>
        </w:rPr>
      </w:pPr>
      <w:r w:rsidRPr="00DF0B06">
        <w:rPr>
          <w:rFonts w:asciiTheme="minorHAnsi" w:hAnsiTheme="minorHAnsi" w:cstheme="minorHAnsi"/>
        </w:rPr>
        <w:t xml:space="preserve">Průběžné zpracování základního konceptu bude prezentováno objednateli min. na </w:t>
      </w:r>
      <w:r w:rsidR="00455971">
        <w:rPr>
          <w:rFonts w:asciiTheme="minorHAnsi" w:hAnsiTheme="minorHAnsi" w:cstheme="minorHAnsi"/>
        </w:rPr>
        <w:t>3</w:t>
      </w:r>
      <w:r w:rsidRPr="00DF0B06">
        <w:rPr>
          <w:rFonts w:asciiTheme="minorHAnsi" w:hAnsiTheme="minorHAnsi" w:cstheme="minorHAnsi"/>
        </w:rPr>
        <w:t xml:space="preserve"> konzultační</w:t>
      </w:r>
      <w:r w:rsidR="00455971">
        <w:rPr>
          <w:rFonts w:asciiTheme="minorHAnsi" w:hAnsiTheme="minorHAnsi" w:cstheme="minorHAnsi"/>
        </w:rPr>
        <w:t>ch</w:t>
      </w:r>
      <w:r w:rsidRPr="00DF0B06">
        <w:rPr>
          <w:rFonts w:asciiTheme="minorHAnsi" w:hAnsiTheme="minorHAnsi" w:cstheme="minorHAnsi"/>
        </w:rPr>
        <w:t xml:space="preserve"> jednání</w:t>
      </w:r>
      <w:r w:rsidR="00455971">
        <w:rPr>
          <w:rFonts w:asciiTheme="minorHAnsi" w:hAnsiTheme="minorHAnsi" w:cstheme="minorHAnsi"/>
        </w:rPr>
        <w:t>ch</w:t>
      </w:r>
      <w:r w:rsidRPr="00DF0B06">
        <w:rPr>
          <w:rFonts w:asciiTheme="minorHAnsi" w:hAnsiTheme="minorHAnsi" w:cstheme="minorHAnsi"/>
        </w:rPr>
        <w:t>.</w:t>
      </w:r>
    </w:p>
    <w:p w14:paraId="59328CDC" w14:textId="0352BAA7" w:rsidR="00DF0B06" w:rsidRPr="00DF0B06" w:rsidRDefault="00DF0B06" w:rsidP="00DF0B06">
      <w:pPr>
        <w:spacing w:after="0" w:line="240" w:lineRule="auto"/>
        <w:jc w:val="both"/>
        <w:rPr>
          <w:rFonts w:asciiTheme="minorHAnsi" w:hAnsiTheme="minorHAnsi" w:cstheme="minorHAnsi"/>
        </w:rPr>
      </w:pPr>
    </w:p>
    <w:p w14:paraId="17CF4D45" w14:textId="53722064" w:rsidR="00DF0B06" w:rsidRDefault="00DF0B06" w:rsidP="00DF0B06">
      <w:pPr>
        <w:spacing w:after="0" w:line="240" w:lineRule="auto"/>
        <w:jc w:val="both"/>
        <w:rPr>
          <w:rFonts w:asciiTheme="minorHAnsi" w:hAnsiTheme="minorHAnsi" w:cstheme="minorHAnsi"/>
        </w:rPr>
      </w:pPr>
      <w:r w:rsidRPr="00DF0B06">
        <w:rPr>
          <w:rFonts w:asciiTheme="minorHAnsi" w:hAnsiTheme="minorHAnsi" w:cstheme="minorHAnsi"/>
        </w:rPr>
        <w:t>Průběžné výstupy budou objednateli předávány v elektronické podobě dle dohody buď emailem příp. prostřednictvím dohodnutého datového úložiště, a to včetně výstupů k předchozímu odsouhlasení před protokolárním předáním.</w:t>
      </w:r>
    </w:p>
    <w:p w14:paraId="5C516D40" w14:textId="77777777" w:rsidR="00DF0B06" w:rsidRDefault="00DF0B06" w:rsidP="00DF0B06">
      <w:pPr>
        <w:spacing w:after="0" w:line="240" w:lineRule="auto"/>
        <w:jc w:val="both"/>
        <w:rPr>
          <w:rFonts w:asciiTheme="minorHAnsi" w:hAnsiTheme="minorHAnsi" w:cstheme="minorHAnsi"/>
        </w:rPr>
      </w:pPr>
    </w:p>
    <w:p w14:paraId="2FCEBAC8" w14:textId="0ED2FD2E" w:rsidR="00DF0B06" w:rsidRDefault="00DF0B06" w:rsidP="00DF0B06">
      <w:pPr>
        <w:pStyle w:val="Odstavecseseznamem"/>
        <w:ind w:left="0"/>
        <w:jc w:val="both"/>
        <w:rPr>
          <w:rFonts w:cstheme="minorHAnsi"/>
        </w:rPr>
      </w:pPr>
      <w:r>
        <w:t xml:space="preserve">Způsob předání </w:t>
      </w:r>
      <w:r w:rsidR="00142302">
        <w:t>milníku – protokolární</w:t>
      </w:r>
      <w:r>
        <w:t xml:space="preserve"> s předchozím odsouhlasením dle čl. VII odst. 1 smlouvy</w:t>
      </w:r>
      <w:r>
        <w:rPr>
          <w:rFonts w:cstheme="minorHAnsi"/>
        </w:rPr>
        <w:t>. Dokladem o dosažení milníku pro účely fakturace je předávací protokol.</w:t>
      </w:r>
    </w:p>
    <w:p w14:paraId="7CD8B92D" w14:textId="5BF68A2E" w:rsidR="00DF0B06" w:rsidRDefault="00733AD7" w:rsidP="003D4C4C">
      <w:pPr>
        <w:pStyle w:val="Odstavecseseznamem"/>
        <w:ind w:left="0"/>
        <w:jc w:val="both"/>
        <w:rPr>
          <w:rFonts w:cstheme="minorHAnsi"/>
        </w:rPr>
      </w:pPr>
      <w:r>
        <w:rPr>
          <w:rFonts w:cstheme="minorHAnsi"/>
        </w:rPr>
        <w:t>Základní koncept</w:t>
      </w:r>
      <w:r w:rsidR="00DF0B06" w:rsidRPr="00733AD7">
        <w:rPr>
          <w:rFonts w:cstheme="minorHAnsi"/>
        </w:rPr>
        <w:t xml:space="preserve"> v rámci protokolárního předání bude předán objednateli v elektronické podobě dle dohody buď emailem příp. prostřednictvím dohodnutého datového úložiště.</w:t>
      </w:r>
    </w:p>
    <w:p w14:paraId="790EBBFC" w14:textId="77777777" w:rsidR="00733AD7" w:rsidRPr="00DF0B06" w:rsidRDefault="00733AD7" w:rsidP="00DF0B06">
      <w:pPr>
        <w:spacing w:after="0" w:line="240" w:lineRule="auto"/>
        <w:jc w:val="both"/>
        <w:rPr>
          <w:rFonts w:asciiTheme="minorHAnsi" w:hAnsiTheme="minorHAnsi" w:cstheme="minorHAnsi"/>
        </w:rPr>
      </w:pPr>
    </w:p>
    <w:p w14:paraId="3F43FF0F" w14:textId="1B9422CC" w:rsidR="00DF0B06" w:rsidRDefault="00DF0B06" w:rsidP="00A206C4">
      <w:pPr>
        <w:spacing w:after="0" w:line="240" w:lineRule="auto"/>
        <w:jc w:val="both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M</w:t>
      </w:r>
      <w:r w:rsidRPr="005263E6">
        <w:rPr>
          <w:rFonts w:asciiTheme="minorHAnsi" w:hAnsiTheme="minorHAnsi" w:cstheme="minorHAnsi"/>
          <w:b/>
        </w:rPr>
        <w:t xml:space="preserve">ilník </w:t>
      </w:r>
      <w:r>
        <w:rPr>
          <w:rFonts w:asciiTheme="minorHAnsi" w:hAnsiTheme="minorHAnsi" w:cstheme="minorHAnsi"/>
          <w:b/>
        </w:rPr>
        <w:t>2</w:t>
      </w:r>
      <w:r w:rsidRPr="005263E6">
        <w:rPr>
          <w:rFonts w:asciiTheme="minorHAnsi" w:hAnsiTheme="minorHAnsi" w:cstheme="minorHAnsi"/>
          <w:b/>
        </w:rPr>
        <w:t xml:space="preserve"> – </w:t>
      </w:r>
      <w:r w:rsidR="00EA09DC">
        <w:rPr>
          <w:rFonts w:asciiTheme="minorHAnsi" w:hAnsiTheme="minorHAnsi" w:cstheme="minorHAnsi"/>
          <w:b/>
        </w:rPr>
        <w:t xml:space="preserve">finální </w:t>
      </w:r>
      <w:r w:rsidR="00455971">
        <w:rPr>
          <w:rFonts w:asciiTheme="minorHAnsi" w:hAnsiTheme="minorHAnsi" w:cstheme="minorHAnsi"/>
          <w:b/>
        </w:rPr>
        <w:t>schválení základního konceptu</w:t>
      </w:r>
    </w:p>
    <w:p w14:paraId="47F89ACA" w14:textId="77777777" w:rsidR="00B348CE" w:rsidRPr="005263E6" w:rsidRDefault="00B348CE" w:rsidP="00A206C4">
      <w:pPr>
        <w:spacing w:after="0" w:line="240" w:lineRule="auto"/>
        <w:jc w:val="both"/>
        <w:rPr>
          <w:rFonts w:asciiTheme="minorHAnsi" w:hAnsiTheme="minorHAnsi" w:cstheme="minorHAnsi"/>
          <w:b/>
        </w:rPr>
      </w:pPr>
    </w:p>
    <w:p w14:paraId="7A9FADC5" w14:textId="1D07B1B8" w:rsidR="00D70C5F" w:rsidRDefault="00EA5D3F" w:rsidP="00A206C4">
      <w:pPr>
        <w:pStyle w:val="Odstavecseseznamem"/>
        <w:ind w:left="0"/>
        <w:jc w:val="both"/>
        <w:rPr>
          <w:rFonts w:eastAsia="Poppins" w:cs="Calibri"/>
        </w:rPr>
      </w:pPr>
      <w:r>
        <w:rPr>
          <w:rFonts w:eastAsia="Poppins" w:cs="Calibri"/>
        </w:rPr>
        <w:t>Po p</w:t>
      </w:r>
      <w:r w:rsidR="00EA09DC">
        <w:rPr>
          <w:rFonts w:eastAsia="Poppins" w:cs="Calibri"/>
        </w:rPr>
        <w:t xml:space="preserve">rotokolárním </w:t>
      </w:r>
      <w:r w:rsidR="00BA0771">
        <w:rPr>
          <w:rFonts w:eastAsia="Poppins" w:cs="Calibri"/>
        </w:rPr>
        <w:t>předání</w:t>
      </w:r>
      <w:r w:rsidR="00EA09DC">
        <w:rPr>
          <w:rFonts w:eastAsia="Poppins" w:cs="Calibri"/>
        </w:rPr>
        <w:t xml:space="preserve"> základního konceptu k širšímu projednání bude probíhat projednání základního konceptu v orgán</w:t>
      </w:r>
      <w:r w:rsidR="00D64B04">
        <w:rPr>
          <w:rFonts w:eastAsia="Poppins" w:cs="Calibri"/>
        </w:rPr>
        <w:t>u</w:t>
      </w:r>
      <w:r w:rsidR="00EA09DC">
        <w:rPr>
          <w:rFonts w:eastAsia="Poppins" w:cs="Calibri"/>
        </w:rPr>
        <w:t xml:space="preserve"> objednatele</w:t>
      </w:r>
      <w:r w:rsidR="00D64B04">
        <w:rPr>
          <w:rFonts w:eastAsia="Poppins" w:cs="Calibri"/>
        </w:rPr>
        <w:t xml:space="preserve"> – radě města</w:t>
      </w:r>
      <w:r w:rsidR="00EA09DC">
        <w:rPr>
          <w:rFonts w:eastAsia="Poppins" w:cs="Calibri"/>
        </w:rPr>
        <w:t>, jehož výsledkem bude finální schválení základního konceptu</w:t>
      </w:r>
      <w:r w:rsidR="005F12AE">
        <w:rPr>
          <w:rFonts w:eastAsia="Poppins" w:cs="Calibri"/>
        </w:rPr>
        <w:t xml:space="preserve"> nebo jeho neschválení</w:t>
      </w:r>
      <w:r w:rsidR="00347543">
        <w:rPr>
          <w:rFonts w:eastAsia="Poppins" w:cs="Calibri"/>
        </w:rPr>
        <w:t xml:space="preserve"> </w:t>
      </w:r>
      <w:r w:rsidR="005F12AE">
        <w:rPr>
          <w:rFonts w:eastAsia="Poppins" w:cs="Calibri"/>
        </w:rPr>
        <w:t xml:space="preserve">a </w:t>
      </w:r>
      <w:r w:rsidR="00347543">
        <w:rPr>
          <w:rFonts w:eastAsia="Poppins" w:cs="Calibri"/>
        </w:rPr>
        <w:t xml:space="preserve">následné </w:t>
      </w:r>
      <w:r w:rsidR="005F12AE">
        <w:rPr>
          <w:rFonts w:eastAsia="Poppins" w:cs="Calibri"/>
        </w:rPr>
        <w:t>rozhodnutí</w:t>
      </w:r>
      <w:r w:rsidR="00347543">
        <w:rPr>
          <w:rFonts w:eastAsia="Poppins" w:cs="Calibri"/>
        </w:rPr>
        <w:t xml:space="preserve"> objednatele</w:t>
      </w:r>
      <w:r w:rsidR="005F12AE">
        <w:rPr>
          <w:rFonts w:eastAsia="Poppins" w:cs="Calibri"/>
        </w:rPr>
        <w:t>, že objednatel smlouvu vypoví</w:t>
      </w:r>
      <w:r w:rsidR="00DC0C90">
        <w:rPr>
          <w:rFonts w:eastAsia="Poppins" w:cs="Calibri"/>
        </w:rPr>
        <w:t xml:space="preserve"> dle čl. X odst. 3 </w:t>
      </w:r>
      <w:r w:rsidR="004776D4">
        <w:rPr>
          <w:rFonts w:eastAsia="Poppins" w:cs="Calibri"/>
        </w:rPr>
        <w:t>či od ní odstoupí</w:t>
      </w:r>
      <w:r w:rsidR="00DC0C90">
        <w:rPr>
          <w:rFonts w:eastAsia="Poppins" w:cs="Calibri"/>
        </w:rPr>
        <w:t xml:space="preserve"> dle čl. X odst. 2 písm. b) smlouvy</w:t>
      </w:r>
      <w:r w:rsidR="00EA09DC">
        <w:rPr>
          <w:rFonts w:eastAsia="Poppins" w:cs="Calibri"/>
        </w:rPr>
        <w:t>.</w:t>
      </w:r>
    </w:p>
    <w:p w14:paraId="7CC3F62F" w14:textId="04C86815" w:rsidR="00D64B04" w:rsidRDefault="00D64B04" w:rsidP="00A206C4">
      <w:pPr>
        <w:pStyle w:val="Odstavecseseznamem"/>
        <w:ind w:left="0"/>
        <w:jc w:val="both"/>
        <w:rPr>
          <w:rFonts w:eastAsia="Poppins" w:cs="Calibri"/>
        </w:rPr>
      </w:pPr>
    </w:p>
    <w:p w14:paraId="0FA8F223" w14:textId="1BC8DD04" w:rsidR="00652BD2" w:rsidRDefault="00652BD2" w:rsidP="00A206C4">
      <w:pPr>
        <w:pStyle w:val="Odstavecseseznamem"/>
        <w:ind w:left="0"/>
        <w:jc w:val="both"/>
        <w:rPr>
          <w:rFonts w:eastAsia="Poppins" w:cs="Calibri"/>
        </w:rPr>
      </w:pPr>
      <w:r w:rsidRPr="00093E1B">
        <w:rPr>
          <w:rFonts w:eastAsia="Poppins" w:cs="Calibri"/>
          <w:u w:val="single"/>
        </w:rPr>
        <w:t>První kolo schvalování</w:t>
      </w:r>
      <w:r>
        <w:rPr>
          <w:rFonts w:eastAsia="Poppins" w:cs="Calibri"/>
        </w:rPr>
        <w:t>:</w:t>
      </w:r>
    </w:p>
    <w:p w14:paraId="40D544C6" w14:textId="1E7F2B32" w:rsidR="00D64B04" w:rsidRDefault="00D64B04" w:rsidP="00A206C4">
      <w:pPr>
        <w:pStyle w:val="Odstavecseseznamem"/>
        <w:ind w:left="0"/>
        <w:jc w:val="both"/>
        <w:rPr>
          <w:rFonts w:eastAsia="Poppins" w:cs="Calibri"/>
        </w:rPr>
      </w:pPr>
      <w:r>
        <w:rPr>
          <w:rFonts w:eastAsia="Poppins" w:cs="Calibri"/>
        </w:rPr>
        <w:t xml:space="preserve">Objednatel se </w:t>
      </w:r>
      <w:r w:rsidR="00A37B1A">
        <w:rPr>
          <w:rFonts w:eastAsia="Poppins" w:cs="Calibri"/>
        </w:rPr>
        <w:t xml:space="preserve">po protokolárním převzetí základního konceptu k širšímu projednání </w:t>
      </w:r>
      <w:r>
        <w:rPr>
          <w:rFonts w:eastAsia="Poppins" w:cs="Calibri"/>
        </w:rPr>
        <w:t xml:space="preserve">zavazuje bez zbytečného odkladu, s ohledem na termíny pravidelných zasedání </w:t>
      </w:r>
      <w:r w:rsidR="00A21F2F">
        <w:rPr>
          <w:rFonts w:eastAsia="Poppins" w:cs="Calibri"/>
        </w:rPr>
        <w:t xml:space="preserve">komisí a </w:t>
      </w:r>
      <w:r>
        <w:rPr>
          <w:rFonts w:eastAsia="Poppins" w:cs="Calibri"/>
        </w:rPr>
        <w:t xml:space="preserve">rady města a lhůty pro předkládání materiálů, předložit základní koncept k projednání radě města. Zhotovitel je povinen se zasedání rady města zúčastnit, základní koncept tam prezentovat a zodpovědět případné dotazy. </w:t>
      </w:r>
      <w:r w:rsidR="00A21F2F">
        <w:rPr>
          <w:rFonts w:eastAsia="Poppins" w:cs="Calibri"/>
        </w:rPr>
        <w:t>Bude-li objednatel před předložením materiálu do rady města požadovat i prezentaci základního konceptu v komisi rady města, je zhotovitel povinen se jednání komise zúčastnit a základní koncept prezentovat i tam.</w:t>
      </w:r>
    </w:p>
    <w:p w14:paraId="174D9C9D" w14:textId="52245910" w:rsidR="00D64B04" w:rsidRDefault="00D64B04" w:rsidP="00A206C4">
      <w:pPr>
        <w:pStyle w:val="Odstavecseseznamem"/>
        <w:ind w:left="0"/>
        <w:jc w:val="both"/>
        <w:rPr>
          <w:rFonts w:eastAsia="Poppins" w:cs="Calibri"/>
        </w:rPr>
      </w:pPr>
      <w:r>
        <w:rPr>
          <w:rFonts w:eastAsia="Poppins" w:cs="Calibri"/>
        </w:rPr>
        <w:t xml:space="preserve">V případě, že rada města základní koncept schválí bez výhrad, </w:t>
      </w:r>
      <w:r w:rsidR="00A37B1A">
        <w:rPr>
          <w:rFonts w:eastAsia="Poppins" w:cs="Calibri"/>
        </w:rPr>
        <w:t>považuje se tento milník za dokončený.</w:t>
      </w:r>
    </w:p>
    <w:p w14:paraId="78CDC73E" w14:textId="4C43693E" w:rsidR="00A37B1A" w:rsidRDefault="00A37B1A" w:rsidP="00A206C4">
      <w:pPr>
        <w:pStyle w:val="Odstavecseseznamem"/>
        <w:ind w:left="0"/>
        <w:jc w:val="both"/>
        <w:rPr>
          <w:rFonts w:eastAsia="Poppins" w:cs="Calibri"/>
        </w:rPr>
      </w:pPr>
      <w:r>
        <w:rPr>
          <w:rFonts w:eastAsia="Poppins" w:cs="Calibri"/>
        </w:rPr>
        <w:t>V případě, že rada města základní koncept neschválí a nevyjádří žádné požadavky na jeho úpravu, objednatel smlouvu</w:t>
      </w:r>
      <w:r w:rsidR="00A11C0D">
        <w:rPr>
          <w:rFonts w:eastAsia="Poppins" w:cs="Calibri"/>
        </w:rPr>
        <w:t xml:space="preserve"> následně</w:t>
      </w:r>
      <w:r>
        <w:rPr>
          <w:rFonts w:eastAsia="Poppins" w:cs="Calibri"/>
        </w:rPr>
        <w:t xml:space="preserve"> vypoví </w:t>
      </w:r>
      <w:r w:rsidR="004776D4">
        <w:rPr>
          <w:rFonts w:eastAsia="Poppins" w:cs="Calibri"/>
        </w:rPr>
        <w:t>nebo od ní odstoupí, jestliže pro to shledá důvody</w:t>
      </w:r>
      <w:r>
        <w:rPr>
          <w:rFonts w:eastAsia="Poppins" w:cs="Calibri"/>
        </w:rPr>
        <w:t>.</w:t>
      </w:r>
    </w:p>
    <w:p w14:paraId="56593330" w14:textId="03D39914" w:rsidR="00A37B1A" w:rsidRDefault="00A37B1A" w:rsidP="00A206C4">
      <w:pPr>
        <w:pStyle w:val="Odstavecseseznamem"/>
        <w:ind w:left="0"/>
        <w:jc w:val="both"/>
        <w:rPr>
          <w:rFonts w:eastAsia="Poppins" w:cs="Calibri"/>
        </w:rPr>
      </w:pPr>
      <w:r>
        <w:rPr>
          <w:rFonts w:eastAsia="Poppins" w:cs="Calibri"/>
        </w:rPr>
        <w:t>V případě, že rada města základní koncept neschválí a vyjádří požadavky na jeho úpravu, má zhotovitel možnost do 10 pracovních dnů doručit objednateli upravený základní koncept nebo úpravu odmítnout. Smluvní strany se mohou dohodnout na prodloužení této lhůty.</w:t>
      </w:r>
      <w:r w:rsidR="00A11C0D">
        <w:rPr>
          <w:rFonts w:eastAsia="Poppins" w:cs="Calibri"/>
        </w:rPr>
        <w:t xml:space="preserve"> Jakékoliv úpravy konceptu v této fázi nebudou mít dopad na cenu</w:t>
      </w:r>
      <w:r w:rsidR="00224083">
        <w:rPr>
          <w:rFonts w:eastAsia="Poppins" w:cs="Calibri"/>
        </w:rPr>
        <w:t xml:space="preserve"> díla (ani </w:t>
      </w:r>
      <w:r w:rsidR="00347543">
        <w:rPr>
          <w:rFonts w:eastAsia="Poppins" w:cs="Calibri"/>
        </w:rPr>
        <w:t xml:space="preserve">v </w:t>
      </w:r>
      <w:r w:rsidR="00224083">
        <w:rPr>
          <w:rFonts w:eastAsia="Poppins" w:cs="Calibri"/>
        </w:rPr>
        <w:t>části</w:t>
      </w:r>
      <w:r w:rsidR="00347543">
        <w:rPr>
          <w:rFonts w:eastAsia="Poppins" w:cs="Calibri"/>
        </w:rPr>
        <w:t xml:space="preserve"> </w:t>
      </w:r>
      <w:proofErr w:type="gramStart"/>
      <w:r w:rsidR="00347543">
        <w:rPr>
          <w:rFonts w:eastAsia="Poppins" w:cs="Calibri"/>
        </w:rPr>
        <w:t>I</w:t>
      </w:r>
      <w:proofErr w:type="gramEnd"/>
      <w:r w:rsidR="00347543">
        <w:rPr>
          <w:rFonts w:eastAsia="Poppins" w:cs="Calibri"/>
        </w:rPr>
        <w:t xml:space="preserve"> ani v části II)</w:t>
      </w:r>
      <w:r w:rsidR="00A11C0D">
        <w:rPr>
          <w:rFonts w:eastAsia="Poppins" w:cs="Calibri"/>
        </w:rPr>
        <w:t>.</w:t>
      </w:r>
    </w:p>
    <w:p w14:paraId="67A457B3" w14:textId="26C55A27" w:rsidR="00652BD2" w:rsidRDefault="00652BD2" w:rsidP="00A206C4">
      <w:pPr>
        <w:pStyle w:val="Odstavecseseznamem"/>
        <w:ind w:left="0"/>
        <w:jc w:val="both"/>
        <w:rPr>
          <w:rFonts w:eastAsia="Poppins" w:cs="Calibri"/>
        </w:rPr>
      </w:pPr>
    </w:p>
    <w:p w14:paraId="7C2041C3" w14:textId="20237B02" w:rsidR="00652BD2" w:rsidRDefault="00652BD2" w:rsidP="00A206C4">
      <w:pPr>
        <w:pStyle w:val="Odstavecseseznamem"/>
        <w:ind w:left="0"/>
        <w:jc w:val="both"/>
        <w:rPr>
          <w:rFonts w:eastAsia="Poppins" w:cs="Calibri"/>
        </w:rPr>
      </w:pPr>
      <w:r w:rsidRPr="00093E1B">
        <w:rPr>
          <w:rFonts w:eastAsia="Poppins" w:cs="Calibri"/>
          <w:u w:val="single"/>
        </w:rPr>
        <w:t>Druhé kolo schvalování</w:t>
      </w:r>
      <w:r>
        <w:rPr>
          <w:rFonts w:eastAsia="Poppins" w:cs="Calibri"/>
        </w:rPr>
        <w:t>:</w:t>
      </w:r>
    </w:p>
    <w:p w14:paraId="0FF17D34" w14:textId="6CDA2D33" w:rsidR="00A37B1A" w:rsidRDefault="00A37B1A" w:rsidP="00B95A4A">
      <w:pPr>
        <w:pStyle w:val="Odstavecseseznamem"/>
        <w:ind w:left="0"/>
        <w:jc w:val="both"/>
        <w:rPr>
          <w:rFonts w:eastAsia="Poppins" w:cs="Calibri"/>
        </w:rPr>
      </w:pPr>
      <w:r>
        <w:rPr>
          <w:rFonts w:eastAsia="Poppins" w:cs="Calibri"/>
        </w:rPr>
        <w:t>Odmítne-li zhotovitel úpravu základního konceptu provést nebo nedoručí-li upravený koncept ve stanovené lhůtě, objednatel se zavazuje bez zbytečného odkladu, s ohledem na termíny pravidelných zasedání rady města a lhůty pro předkládání materiálů, předložit radě města</w:t>
      </w:r>
      <w:r w:rsidR="00B95A4A">
        <w:rPr>
          <w:rFonts w:eastAsia="Poppins" w:cs="Calibri"/>
        </w:rPr>
        <w:t xml:space="preserve"> znovu ke schválení původní základní koncept.</w:t>
      </w:r>
      <w:r w:rsidR="00B95A4A" w:rsidRPr="00B95A4A">
        <w:rPr>
          <w:rFonts w:eastAsia="Poppins" w:cs="Calibri"/>
        </w:rPr>
        <w:t xml:space="preserve"> </w:t>
      </w:r>
      <w:r w:rsidR="00B95A4A">
        <w:rPr>
          <w:rFonts w:eastAsia="Poppins" w:cs="Calibri"/>
        </w:rPr>
        <w:t xml:space="preserve">V případě, že rada města původní základní koncept schválí nově bez výhrad, považuje se tento milník za dokončený. V případě, že rada města původní základní koncept ani napodruhé neschválí, objednatel </w:t>
      </w:r>
      <w:r w:rsidR="005C28AB">
        <w:rPr>
          <w:rFonts w:eastAsia="Poppins" w:cs="Calibri"/>
        </w:rPr>
        <w:t xml:space="preserve">následně </w:t>
      </w:r>
      <w:r w:rsidR="00B95A4A">
        <w:rPr>
          <w:rFonts w:eastAsia="Poppins" w:cs="Calibri"/>
        </w:rPr>
        <w:t xml:space="preserve">smlouvu vypoví </w:t>
      </w:r>
      <w:r w:rsidR="004776D4">
        <w:rPr>
          <w:rFonts w:eastAsia="Poppins" w:cs="Calibri"/>
        </w:rPr>
        <w:t>nebo od ní odstoupí, jestliže pro to shledá důvody</w:t>
      </w:r>
      <w:r w:rsidR="00B95A4A">
        <w:rPr>
          <w:rFonts w:eastAsia="Poppins" w:cs="Calibri"/>
        </w:rPr>
        <w:t xml:space="preserve">. </w:t>
      </w:r>
    </w:p>
    <w:p w14:paraId="141420D7" w14:textId="548ECE88" w:rsidR="004776D4" w:rsidRDefault="004776D4" w:rsidP="004776D4">
      <w:pPr>
        <w:pStyle w:val="Odstavecseseznamem"/>
        <w:ind w:left="0"/>
        <w:jc w:val="both"/>
        <w:rPr>
          <w:rFonts w:eastAsia="Poppins" w:cs="Calibri"/>
        </w:rPr>
      </w:pPr>
      <w:r>
        <w:rPr>
          <w:rFonts w:eastAsia="Poppins" w:cs="Calibri"/>
        </w:rPr>
        <w:t>Doručí-li zhotovitel objednateli včas upravený základní koncept, objednatel se zavazuje bez zbytečného odkladu, s ohledem na termíny pravidelných zasedání komisí a rady města a lhůty pro předkládání materiálů, předložit upravený základní koncept k projednání radě města. Zhotovitel je povinen se zasedání rady města zúčastnit, základní koncept tam prezentovat a zodpovědět případné dotazy, bude-li to objednatel požadovat.</w:t>
      </w:r>
    </w:p>
    <w:p w14:paraId="74B0590C" w14:textId="32800537" w:rsidR="004776D4" w:rsidRDefault="004776D4" w:rsidP="004776D4">
      <w:pPr>
        <w:pStyle w:val="Odstavecseseznamem"/>
        <w:ind w:left="0"/>
        <w:jc w:val="both"/>
        <w:rPr>
          <w:rFonts w:eastAsia="Poppins" w:cs="Calibri"/>
        </w:rPr>
      </w:pPr>
      <w:r>
        <w:rPr>
          <w:rFonts w:eastAsia="Poppins" w:cs="Calibri"/>
        </w:rPr>
        <w:t xml:space="preserve">V případě, že rada města </w:t>
      </w:r>
      <w:r w:rsidR="00347543">
        <w:rPr>
          <w:rFonts w:eastAsia="Poppins" w:cs="Calibri"/>
        </w:rPr>
        <w:t xml:space="preserve">upravený </w:t>
      </w:r>
      <w:r>
        <w:rPr>
          <w:rFonts w:eastAsia="Poppins" w:cs="Calibri"/>
        </w:rPr>
        <w:t>základní koncept schválí bez výhrad, považuje se tento milník za dokončený.</w:t>
      </w:r>
    </w:p>
    <w:p w14:paraId="2C55266F" w14:textId="77035E8D" w:rsidR="004776D4" w:rsidRDefault="004776D4" w:rsidP="004776D4">
      <w:pPr>
        <w:pStyle w:val="Odstavecseseznamem"/>
        <w:ind w:left="0"/>
        <w:jc w:val="both"/>
        <w:rPr>
          <w:rFonts w:eastAsia="Poppins" w:cs="Calibri"/>
        </w:rPr>
      </w:pPr>
      <w:r>
        <w:rPr>
          <w:rFonts w:eastAsia="Poppins" w:cs="Calibri"/>
        </w:rPr>
        <w:t xml:space="preserve">V případě, že rada města </w:t>
      </w:r>
      <w:r w:rsidR="00347543">
        <w:rPr>
          <w:rFonts w:eastAsia="Poppins" w:cs="Calibri"/>
        </w:rPr>
        <w:t xml:space="preserve">upravený </w:t>
      </w:r>
      <w:r>
        <w:rPr>
          <w:rFonts w:eastAsia="Poppins" w:cs="Calibri"/>
        </w:rPr>
        <w:t xml:space="preserve">základní koncept neschválí, objednatel smlouvu </w:t>
      </w:r>
      <w:r w:rsidR="00347543">
        <w:rPr>
          <w:rFonts w:eastAsia="Poppins" w:cs="Calibri"/>
        </w:rPr>
        <w:t xml:space="preserve">následně </w:t>
      </w:r>
      <w:r>
        <w:rPr>
          <w:rFonts w:eastAsia="Poppins" w:cs="Calibri"/>
        </w:rPr>
        <w:t>vypoví nebo od ní odstoupí, jestliže pro to shledá důvody.</w:t>
      </w:r>
    </w:p>
    <w:p w14:paraId="36F3B58A" w14:textId="3762F95D" w:rsidR="004776D4" w:rsidRDefault="004776D4" w:rsidP="00B95A4A">
      <w:pPr>
        <w:pStyle w:val="Odstavecseseznamem"/>
        <w:ind w:left="0"/>
        <w:jc w:val="both"/>
        <w:rPr>
          <w:rFonts w:eastAsia="Poppins" w:cs="Calibri"/>
        </w:rPr>
      </w:pPr>
    </w:p>
    <w:p w14:paraId="6B0548BD" w14:textId="7F07A89A" w:rsidR="00652BD2" w:rsidRPr="00093E1B" w:rsidRDefault="00652BD2" w:rsidP="00B95A4A">
      <w:pPr>
        <w:pStyle w:val="Odstavecseseznamem"/>
        <w:ind w:left="0"/>
        <w:jc w:val="both"/>
        <w:rPr>
          <w:rFonts w:eastAsia="Poppins" w:cs="Calibri"/>
          <w:u w:val="single"/>
        </w:rPr>
      </w:pPr>
      <w:r w:rsidRPr="00093E1B">
        <w:rPr>
          <w:rFonts w:eastAsia="Poppins" w:cs="Calibri"/>
          <w:u w:val="single"/>
        </w:rPr>
        <w:t>Společná ustanovení:</w:t>
      </w:r>
    </w:p>
    <w:p w14:paraId="63DC1A33" w14:textId="77777777" w:rsidR="00652BD2" w:rsidRDefault="00652BD2" w:rsidP="00B95A4A">
      <w:pPr>
        <w:pStyle w:val="Odstavecseseznamem"/>
        <w:ind w:left="0"/>
        <w:jc w:val="both"/>
        <w:rPr>
          <w:rFonts w:eastAsia="Poppins" w:cs="Calibri"/>
        </w:rPr>
      </w:pPr>
    </w:p>
    <w:p w14:paraId="17B16769" w14:textId="22627D05" w:rsidR="00EA4716" w:rsidRDefault="00EA4716" w:rsidP="004776D4">
      <w:pPr>
        <w:pStyle w:val="Odstavecseseznamem"/>
        <w:ind w:left="0"/>
        <w:jc w:val="both"/>
        <w:rPr>
          <w:rFonts w:eastAsia="Poppins" w:cs="Calibri"/>
        </w:rPr>
      </w:pPr>
      <w:r>
        <w:rPr>
          <w:rFonts w:eastAsia="Poppins" w:cs="Calibri"/>
        </w:rPr>
        <w:t>Rada města má právo si v rámci kteréhokoliv svého rozhodování vyhradit</w:t>
      </w:r>
      <w:r w:rsidR="00652BD2">
        <w:rPr>
          <w:rFonts w:eastAsia="Poppins" w:cs="Calibri"/>
        </w:rPr>
        <w:t xml:space="preserve">, že o věci rozhodne na dalším zasedání, a to zejména tehdy, není-li schopna na místě formulovat požadavky na úpravu základního konceptu nebo není-li ve věci přijato žádné usnesení. Není-li mezi objednatelem a zhotovitelem dohodnuto jinak, lze takto rozhodnutí rady odložit pouze jednou v každém kole schvalování. </w:t>
      </w:r>
    </w:p>
    <w:p w14:paraId="1B48D0CF" w14:textId="77777777" w:rsidR="00652BD2" w:rsidRDefault="00652BD2" w:rsidP="004776D4">
      <w:pPr>
        <w:pStyle w:val="Odstavecseseznamem"/>
        <w:ind w:left="0"/>
        <w:jc w:val="both"/>
        <w:rPr>
          <w:rFonts w:eastAsia="Poppins" w:cs="Calibri"/>
        </w:rPr>
      </w:pPr>
    </w:p>
    <w:p w14:paraId="4E2F20FD" w14:textId="566910AC" w:rsidR="00347543" w:rsidRDefault="004776D4" w:rsidP="004776D4">
      <w:pPr>
        <w:pStyle w:val="Odstavecseseznamem"/>
        <w:ind w:left="0"/>
        <w:jc w:val="both"/>
        <w:rPr>
          <w:rFonts w:eastAsia="Poppins" w:cs="Calibri"/>
        </w:rPr>
      </w:pPr>
      <w:r>
        <w:rPr>
          <w:rFonts w:eastAsia="Poppins" w:cs="Calibri"/>
        </w:rPr>
        <w:t xml:space="preserve">Každé rozhodnutí rady města v rámci tohoto milníku </w:t>
      </w:r>
      <w:r w:rsidR="005C28AB">
        <w:rPr>
          <w:rFonts w:eastAsia="Poppins" w:cs="Calibri"/>
        </w:rPr>
        <w:t xml:space="preserve">o schválení/neschválení základního konceptu </w:t>
      </w:r>
      <w:r>
        <w:rPr>
          <w:rFonts w:eastAsia="Poppins" w:cs="Calibri"/>
        </w:rPr>
        <w:t xml:space="preserve">doručí objednatel zhotoviteli </w:t>
      </w:r>
      <w:r w:rsidRPr="00D64B04">
        <w:rPr>
          <w:rFonts w:eastAsia="Poppins" w:cs="Calibri"/>
          <w:b/>
        </w:rPr>
        <w:t>do datové schránky</w:t>
      </w:r>
      <w:r>
        <w:rPr>
          <w:rFonts w:eastAsia="Poppins" w:cs="Calibri"/>
        </w:rPr>
        <w:t xml:space="preserve"> nejpozději do 5 pracovních dnů od konání zasedání rady města.</w:t>
      </w:r>
      <w:r w:rsidR="005C28AB">
        <w:rPr>
          <w:rFonts w:eastAsia="Poppins" w:cs="Calibri"/>
        </w:rPr>
        <w:t xml:space="preserve"> </w:t>
      </w:r>
    </w:p>
    <w:p w14:paraId="16430ADC" w14:textId="77777777" w:rsidR="00347543" w:rsidRDefault="00347543" w:rsidP="004776D4">
      <w:pPr>
        <w:pStyle w:val="Odstavecseseznamem"/>
        <w:ind w:left="0"/>
        <w:jc w:val="both"/>
        <w:rPr>
          <w:rFonts w:eastAsia="Poppins" w:cs="Calibri"/>
        </w:rPr>
      </w:pPr>
    </w:p>
    <w:p w14:paraId="3348E1BC" w14:textId="7944C83D" w:rsidR="004776D4" w:rsidRDefault="00347543" w:rsidP="004776D4">
      <w:pPr>
        <w:pStyle w:val="Odstavecseseznamem"/>
        <w:ind w:left="0"/>
        <w:jc w:val="both"/>
        <w:rPr>
          <w:rFonts w:eastAsia="Poppins" w:cs="Calibri"/>
        </w:rPr>
      </w:pPr>
      <w:r>
        <w:rPr>
          <w:rFonts w:eastAsia="Poppins" w:cs="Calibri"/>
        </w:rPr>
        <w:t>Je-li doručené rozhodnutí rady města definitivně neschvalující, je zhotovitel povinen vyčkat doručení výpovědi nebo odstoupení od smlouvy ze strany objednatele. R</w:t>
      </w:r>
      <w:r w:rsidR="005C28AB">
        <w:rPr>
          <w:rFonts w:eastAsia="Poppins" w:cs="Calibri"/>
        </w:rPr>
        <w:t xml:space="preserve">ozhodnutí o výpovědi či odstoupení od smlouvy </w:t>
      </w:r>
      <w:r>
        <w:rPr>
          <w:rFonts w:eastAsia="Poppins" w:cs="Calibri"/>
        </w:rPr>
        <w:t xml:space="preserve">navazující na rozhodnutí rady města o definitivním neschválení základního konceptu </w:t>
      </w:r>
      <w:r w:rsidR="005C28AB">
        <w:rPr>
          <w:rFonts w:eastAsia="Poppins" w:cs="Calibri"/>
        </w:rPr>
        <w:t xml:space="preserve">doručí objednatel zhotoviteli </w:t>
      </w:r>
      <w:r w:rsidR="005C28AB" w:rsidRPr="00FD663C">
        <w:rPr>
          <w:rFonts w:eastAsia="Poppins" w:cs="Calibri"/>
          <w:b/>
        </w:rPr>
        <w:t>do datové schránky do 1 měsíce</w:t>
      </w:r>
      <w:r w:rsidR="005C28AB">
        <w:rPr>
          <w:rFonts w:eastAsia="Poppins" w:cs="Calibri"/>
        </w:rPr>
        <w:t xml:space="preserve"> od konání zasedání rady města, která rozhodla o definitivním neschválení základního konceptu. Neučiní-li objednatel takové právní jednání ve stanovené lhůtě, </w:t>
      </w:r>
      <w:r w:rsidR="00AD4FB9">
        <w:rPr>
          <w:rFonts w:eastAsia="Poppins" w:cs="Calibri"/>
        </w:rPr>
        <w:t>má se za to, že k okamžiku uplynutí této lhůty byla smlouva vypovězena s účinky dle čl. X odst. 3 smlouvy, tj. zejména s nárokem zhotovitele na zaplacení ceny za zpracování základního konceptu v tam uvedené výši</w:t>
      </w:r>
      <w:r w:rsidR="005C28AB">
        <w:rPr>
          <w:rFonts w:eastAsia="Poppins" w:cs="Calibri"/>
        </w:rPr>
        <w:t>.</w:t>
      </w:r>
    </w:p>
    <w:p w14:paraId="2EC6186B" w14:textId="77777777" w:rsidR="005263E6" w:rsidRDefault="005263E6" w:rsidP="00A206C4">
      <w:pPr>
        <w:pStyle w:val="Odstavecseseznamem"/>
        <w:ind w:left="0"/>
        <w:jc w:val="both"/>
        <w:rPr>
          <w:rFonts w:cstheme="minorHAnsi"/>
        </w:rPr>
      </w:pPr>
    </w:p>
    <w:p w14:paraId="62AA1F06" w14:textId="203A206B" w:rsidR="005263E6" w:rsidRDefault="005263E6" w:rsidP="00A206C4">
      <w:pPr>
        <w:pStyle w:val="Odstavecseseznamem"/>
        <w:ind w:left="0"/>
        <w:jc w:val="both"/>
        <w:rPr>
          <w:rFonts w:cstheme="minorHAnsi"/>
          <w:b/>
        </w:rPr>
      </w:pPr>
      <w:r w:rsidRPr="005263E6">
        <w:rPr>
          <w:rFonts w:cstheme="minorHAnsi"/>
          <w:b/>
        </w:rPr>
        <w:t xml:space="preserve">Milník </w:t>
      </w:r>
      <w:r w:rsidR="000926C3">
        <w:rPr>
          <w:rFonts w:cstheme="minorHAnsi"/>
          <w:b/>
        </w:rPr>
        <w:t>3</w:t>
      </w:r>
      <w:r w:rsidRPr="005263E6">
        <w:rPr>
          <w:rFonts w:cstheme="minorHAnsi"/>
          <w:b/>
        </w:rPr>
        <w:t xml:space="preserve"> – čistopis </w:t>
      </w:r>
      <w:r w:rsidR="000926C3">
        <w:rPr>
          <w:rFonts w:cstheme="minorHAnsi"/>
          <w:b/>
        </w:rPr>
        <w:t xml:space="preserve">projektové dokumentace včetně souhrnného </w:t>
      </w:r>
      <w:r w:rsidR="000926C3" w:rsidRPr="000926C3">
        <w:rPr>
          <w:rFonts w:cstheme="minorHAnsi"/>
          <w:b/>
        </w:rPr>
        <w:t>rozpočtu</w:t>
      </w:r>
    </w:p>
    <w:p w14:paraId="2C49063A" w14:textId="0DFCD11A" w:rsidR="003B6C2D" w:rsidRPr="00226578" w:rsidRDefault="0036081F" w:rsidP="003B6C2D">
      <w:pPr>
        <w:jc w:val="both"/>
        <w:rPr>
          <w:rFonts w:asciiTheme="minorHAnsi" w:eastAsia="Poppins" w:hAnsiTheme="minorHAnsi" w:cs="Calibri"/>
        </w:rPr>
      </w:pPr>
      <w:r>
        <w:rPr>
          <w:rFonts w:asciiTheme="minorHAnsi" w:eastAsia="Poppins" w:hAnsiTheme="minorHAnsi" w:cs="Calibri"/>
        </w:rPr>
        <w:t>Zhotovitel zpracuje č</w:t>
      </w:r>
      <w:r w:rsidR="003B6C2D">
        <w:rPr>
          <w:rFonts w:asciiTheme="minorHAnsi" w:eastAsia="Poppins" w:hAnsiTheme="minorHAnsi" w:cs="Calibri"/>
        </w:rPr>
        <w:t>istopis d</w:t>
      </w:r>
      <w:r w:rsidR="003B6C2D" w:rsidRPr="00226578">
        <w:rPr>
          <w:rFonts w:asciiTheme="minorHAnsi" w:eastAsia="Poppins" w:hAnsiTheme="minorHAnsi" w:cs="Calibri"/>
        </w:rPr>
        <w:t>okumentace</w:t>
      </w:r>
      <w:r>
        <w:rPr>
          <w:rFonts w:asciiTheme="minorHAnsi" w:eastAsia="Poppins" w:hAnsiTheme="minorHAnsi" w:cs="Calibri"/>
        </w:rPr>
        <w:t xml:space="preserve"> pro povolení </w:t>
      </w:r>
      <w:r w:rsidR="00CC5E16">
        <w:rPr>
          <w:rFonts w:asciiTheme="minorHAnsi" w:eastAsia="Poppins" w:hAnsiTheme="minorHAnsi" w:cs="Calibri"/>
        </w:rPr>
        <w:t>stavby</w:t>
      </w:r>
      <w:r w:rsidR="00E45D91">
        <w:rPr>
          <w:rFonts w:asciiTheme="minorHAnsi" w:eastAsia="Poppins" w:hAnsiTheme="minorHAnsi" w:cs="Calibri"/>
        </w:rPr>
        <w:t xml:space="preserve"> (dále jen „DSP“)</w:t>
      </w:r>
      <w:r>
        <w:rPr>
          <w:rFonts w:asciiTheme="minorHAnsi" w:eastAsia="Poppins" w:hAnsiTheme="minorHAnsi" w:cs="Calibri"/>
        </w:rPr>
        <w:t>, který</w:t>
      </w:r>
      <w:r w:rsidR="003B6C2D" w:rsidRPr="00226578">
        <w:rPr>
          <w:rFonts w:asciiTheme="minorHAnsi" w:eastAsia="Poppins" w:hAnsiTheme="minorHAnsi" w:cs="Calibri"/>
        </w:rPr>
        <w:t xml:space="preserve"> </w:t>
      </w:r>
      <w:r w:rsidR="003B6C2D" w:rsidRPr="00B724CC">
        <w:rPr>
          <w:rFonts w:asciiTheme="minorHAnsi" w:eastAsia="Poppins" w:hAnsiTheme="minorHAnsi" w:cs="Calibri"/>
        </w:rPr>
        <w:t>bude vycházet z</w:t>
      </w:r>
      <w:r w:rsidR="004F3510">
        <w:rPr>
          <w:rFonts w:asciiTheme="minorHAnsi" w:eastAsia="Poppins" w:hAnsiTheme="minorHAnsi" w:cs="Calibri"/>
        </w:rPr>
        <w:t>e základního konceptu projektu</w:t>
      </w:r>
      <w:r w:rsidR="003B6C2D" w:rsidRPr="00B724CC">
        <w:rPr>
          <w:rFonts w:asciiTheme="minorHAnsi" w:eastAsia="Poppins" w:hAnsiTheme="minorHAnsi" w:cs="Calibri"/>
        </w:rPr>
        <w:t xml:space="preserve">, </w:t>
      </w:r>
      <w:r>
        <w:rPr>
          <w:rFonts w:asciiTheme="minorHAnsi" w:eastAsia="Poppins" w:hAnsiTheme="minorHAnsi" w:cs="Calibri"/>
        </w:rPr>
        <w:t>a to</w:t>
      </w:r>
      <w:r w:rsidR="003B6C2D">
        <w:rPr>
          <w:rFonts w:asciiTheme="minorHAnsi" w:eastAsia="Poppins" w:hAnsiTheme="minorHAnsi" w:cs="Calibri"/>
        </w:rPr>
        <w:t xml:space="preserve"> tak, aby byl řádným a plnohodnotným podkladem a bezchybnou přílohou pro podání žádosti o povolení </w:t>
      </w:r>
      <w:r w:rsidR="004F3510">
        <w:rPr>
          <w:rFonts w:asciiTheme="minorHAnsi" w:eastAsia="Poppins" w:hAnsiTheme="minorHAnsi" w:cs="Calibri"/>
        </w:rPr>
        <w:t>stavebního záměru</w:t>
      </w:r>
      <w:r w:rsidR="003B6C2D" w:rsidRPr="00226578">
        <w:rPr>
          <w:rFonts w:asciiTheme="minorHAnsi" w:eastAsia="Poppins" w:hAnsiTheme="minorHAnsi" w:cs="Calibri"/>
        </w:rPr>
        <w:t>. Součástí prací bude zpracování kvalifikovaného propočtu nákladů</w:t>
      </w:r>
      <w:r w:rsidR="003B6C2D">
        <w:rPr>
          <w:rFonts w:asciiTheme="minorHAnsi" w:eastAsia="Poppins" w:hAnsiTheme="minorHAnsi" w:cs="Calibri"/>
        </w:rPr>
        <w:t xml:space="preserve"> (dále též „souhrnný rozpočet</w:t>
      </w:r>
      <w:r w:rsidR="002F5F28">
        <w:rPr>
          <w:rFonts w:asciiTheme="minorHAnsi" w:eastAsia="Poppins" w:hAnsiTheme="minorHAnsi" w:cs="Calibri"/>
        </w:rPr>
        <w:t>“</w:t>
      </w:r>
      <w:r w:rsidR="003B6C2D">
        <w:rPr>
          <w:rFonts w:asciiTheme="minorHAnsi" w:eastAsia="Poppins" w:hAnsiTheme="minorHAnsi" w:cs="Calibri"/>
        </w:rPr>
        <w:t>), který bude k čistopisu přiložen a pro účely naplnění tohoto milníku bude považován za součást čistopisu DSP</w:t>
      </w:r>
      <w:r w:rsidR="003B6C2D" w:rsidRPr="00226578">
        <w:rPr>
          <w:rFonts w:asciiTheme="minorHAnsi" w:eastAsia="Poppins" w:hAnsiTheme="minorHAnsi" w:cs="Calibri"/>
        </w:rPr>
        <w:t>.</w:t>
      </w:r>
    </w:p>
    <w:p w14:paraId="4B348BFC" w14:textId="36EE7C1B" w:rsidR="003B6C2D" w:rsidRPr="00226578" w:rsidRDefault="003B6C2D" w:rsidP="003B6C2D">
      <w:pPr>
        <w:spacing w:after="0"/>
        <w:jc w:val="both"/>
        <w:rPr>
          <w:rFonts w:asciiTheme="minorHAnsi" w:eastAsia="Poppins" w:hAnsiTheme="minorHAnsi" w:cs="Calibri"/>
        </w:rPr>
      </w:pPr>
      <w:r w:rsidRPr="00226578">
        <w:rPr>
          <w:rFonts w:asciiTheme="minorHAnsi" w:eastAsia="Poppins" w:hAnsiTheme="minorHAnsi" w:cs="Calibri"/>
        </w:rPr>
        <w:t>Součástí výkonu jsou zejména následující činnosti</w:t>
      </w:r>
      <w:r>
        <w:rPr>
          <w:rFonts w:asciiTheme="minorHAnsi" w:eastAsia="Poppins" w:hAnsiTheme="minorHAnsi" w:cs="Calibri"/>
        </w:rPr>
        <w:t>, jsou-li třeba pro zpracování čistopisu DSP v požadované kvalitě</w:t>
      </w:r>
      <w:r w:rsidR="00ED19EA">
        <w:rPr>
          <w:rFonts w:asciiTheme="minorHAnsi" w:eastAsia="Poppins" w:hAnsiTheme="minorHAnsi" w:cs="Calibri"/>
        </w:rPr>
        <w:t xml:space="preserve"> a k získání </w:t>
      </w:r>
      <w:r w:rsidR="004F3510">
        <w:rPr>
          <w:rFonts w:asciiTheme="minorHAnsi" w:eastAsia="Poppins" w:hAnsiTheme="minorHAnsi" w:cs="Calibri"/>
        </w:rPr>
        <w:t>povolení záměru</w:t>
      </w:r>
      <w:r w:rsidR="00ED19EA">
        <w:rPr>
          <w:rFonts w:asciiTheme="minorHAnsi" w:eastAsia="Poppins" w:hAnsiTheme="minorHAnsi" w:cs="Calibri"/>
        </w:rPr>
        <w:t xml:space="preserve"> v právní moci</w:t>
      </w:r>
      <w:r>
        <w:rPr>
          <w:rFonts w:asciiTheme="minorHAnsi" w:eastAsia="Poppins" w:hAnsiTheme="minorHAnsi" w:cs="Calibri"/>
        </w:rPr>
        <w:t>:</w:t>
      </w:r>
    </w:p>
    <w:p w14:paraId="172CB9DD" w14:textId="602922C5" w:rsidR="004F3510" w:rsidRPr="00226578" w:rsidRDefault="004F3510" w:rsidP="004F3510">
      <w:pPr>
        <w:pStyle w:val="Odstavecseseznamem"/>
        <w:numPr>
          <w:ilvl w:val="0"/>
          <w:numId w:val="22"/>
        </w:numPr>
        <w:ind w:left="426"/>
        <w:jc w:val="both"/>
        <w:rPr>
          <w:rFonts w:eastAsia="Poppins" w:cs="Calibri"/>
        </w:rPr>
      </w:pPr>
      <w:r>
        <w:rPr>
          <w:rFonts w:eastAsia="Poppins" w:cs="Calibri"/>
        </w:rPr>
        <w:t>zajištění</w:t>
      </w:r>
      <w:r w:rsidRPr="00226578">
        <w:rPr>
          <w:rFonts w:eastAsia="Poppins" w:cs="Calibri"/>
        </w:rPr>
        <w:t xml:space="preserve"> </w:t>
      </w:r>
      <w:r w:rsidR="00E45D91">
        <w:rPr>
          <w:rFonts w:eastAsia="Poppins" w:cs="Calibri"/>
        </w:rPr>
        <w:t xml:space="preserve">kladných </w:t>
      </w:r>
      <w:r w:rsidRPr="00226578">
        <w:rPr>
          <w:rFonts w:eastAsia="Poppins" w:cs="Calibri"/>
        </w:rPr>
        <w:t xml:space="preserve">stanovisek </w:t>
      </w:r>
      <w:r w:rsidR="00E45D91">
        <w:rPr>
          <w:rFonts w:eastAsia="Poppins" w:cs="Calibri"/>
        </w:rPr>
        <w:t>dotčených osob, správců veřejné infrastruktury a orgánů státní správy (dále jen „</w:t>
      </w:r>
      <w:r w:rsidRPr="00226578">
        <w:rPr>
          <w:rFonts w:eastAsia="Poppins" w:cs="Calibri"/>
        </w:rPr>
        <w:t>DOSS</w:t>
      </w:r>
      <w:r w:rsidR="00E45D91">
        <w:rPr>
          <w:rFonts w:eastAsia="Poppins" w:cs="Calibri"/>
        </w:rPr>
        <w:t>“)</w:t>
      </w:r>
    </w:p>
    <w:p w14:paraId="39EB0ED3" w14:textId="129B913D" w:rsidR="003B6C2D" w:rsidRDefault="003B6C2D" w:rsidP="004F3510">
      <w:pPr>
        <w:pStyle w:val="Odstavecseseznamem"/>
        <w:numPr>
          <w:ilvl w:val="0"/>
          <w:numId w:val="22"/>
        </w:numPr>
        <w:ind w:left="567"/>
        <w:jc w:val="both"/>
        <w:rPr>
          <w:rFonts w:eastAsia="Poppins" w:cs="Calibri"/>
        </w:rPr>
      </w:pPr>
      <w:r w:rsidRPr="00226578">
        <w:rPr>
          <w:rFonts w:eastAsia="Poppins" w:cs="Calibri"/>
        </w:rPr>
        <w:t xml:space="preserve">zapracování výsledků projednání s DOSS do </w:t>
      </w:r>
      <w:r w:rsidR="00E45D91">
        <w:rPr>
          <w:rFonts w:eastAsia="Poppins" w:cs="Calibri"/>
        </w:rPr>
        <w:t>DSP</w:t>
      </w:r>
    </w:p>
    <w:p w14:paraId="08770F66" w14:textId="55EDEA5A" w:rsidR="003B6C2D" w:rsidRDefault="00FF004A" w:rsidP="003B6C2D">
      <w:pPr>
        <w:pStyle w:val="Odstavecseseznamem"/>
        <w:numPr>
          <w:ilvl w:val="0"/>
          <w:numId w:val="22"/>
        </w:numPr>
        <w:ind w:left="567"/>
        <w:jc w:val="both"/>
        <w:rPr>
          <w:rFonts w:eastAsia="Poppins" w:cs="Calibri"/>
        </w:rPr>
      </w:pPr>
      <w:r>
        <w:rPr>
          <w:rFonts w:eastAsia="Poppins" w:cs="Calibri"/>
        </w:rPr>
        <w:t>zapracování</w:t>
      </w:r>
      <w:r w:rsidR="003B6C2D">
        <w:rPr>
          <w:rFonts w:eastAsia="Poppins" w:cs="Calibri"/>
        </w:rPr>
        <w:t xml:space="preserve"> případných </w:t>
      </w:r>
      <w:r>
        <w:rPr>
          <w:rFonts w:eastAsia="Poppins" w:cs="Calibri"/>
        </w:rPr>
        <w:t xml:space="preserve">relevantních </w:t>
      </w:r>
      <w:r w:rsidR="003B6C2D">
        <w:rPr>
          <w:rFonts w:eastAsia="Poppins" w:cs="Calibri"/>
        </w:rPr>
        <w:t>připomínek objednatele</w:t>
      </w:r>
    </w:p>
    <w:p w14:paraId="5A966CD5" w14:textId="1780A30A" w:rsidR="003B6C2D" w:rsidRPr="005263E6" w:rsidRDefault="003B6C2D" w:rsidP="003B6C2D">
      <w:pPr>
        <w:pStyle w:val="Odstavecseseznamem"/>
        <w:numPr>
          <w:ilvl w:val="0"/>
          <w:numId w:val="33"/>
        </w:numPr>
        <w:spacing w:after="0"/>
        <w:ind w:left="567"/>
        <w:rPr>
          <w:rFonts w:cs="Calibri"/>
        </w:rPr>
      </w:pPr>
      <w:r w:rsidRPr="005263E6">
        <w:rPr>
          <w:rFonts w:eastAsia="Poppins" w:cs="Calibri"/>
        </w:rPr>
        <w:t>zajištění součinnosti se stavebním úřadem</w:t>
      </w:r>
    </w:p>
    <w:p w14:paraId="48EA4122" w14:textId="26122B66" w:rsidR="002A5F48" w:rsidRPr="00CB6A51" w:rsidRDefault="003B6C2D" w:rsidP="00B964AE">
      <w:pPr>
        <w:pStyle w:val="Odstavecseseznamem"/>
        <w:numPr>
          <w:ilvl w:val="0"/>
          <w:numId w:val="24"/>
        </w:numPr>
        <w:spacing w:after="0" w:line="288" w:lineRule="auto"/>
        <w:ind w:left="567"/>
        <w:rPr>
          <w:rFonts w:cstheme="minorHAnsi"/>
          <w:iCs/>
        </w:rPr>
      </w:pPr>
      <w:r w:rsidRPr="00CB6A51">
        <w:rPr>
          <w:rFonts w:cstheme="minorHAnsi"/>
          <w:iCs/>
        </w:rPr>
        <w:t>zajištění stanovisek, vyjádření, rozhodnutí a souhlasů všech ostatních dotčených orgánů a organizací státní správy a samosprávy pro stavební řízení</w:t>
      </w:r>
      <w:r w:rsidR="00CB6A51">
        <w:rPr>
          <w:rFonts w:cstheme="minorHAnsi"/>
          <w:iCs/>
        </w:rPr>
        <w:t>.</w:t>
      </w:r>
    </w:p>
    <w:p w14:paraId="1B5D0102" w14:textId="77777777" w:rsidR="003B6C2D" w:rsidRPr="003B6C2D" w:rsidRDefault="003B6C2D" w:rsidP="003B6C2D">
      <w:pPr>
        <w:spacing w:after="0" w:line="288" w:lineRule="auto"/>
        <w:ind w:left="207"/>
        <w:rPr>
          <w:rFonts w:cstheme="minorHAnsi"/>
          <w:iCs/>
        </w:rPr>
      </w:pPr>
    </w:p>
    <w:p w14:paraId="5532962B" w14:textId="1085E09A" w:rsidR="003B6C2D" w:rsidRDefault="003B6C2D" w:rsidP="003B6C2D">
      <w:pPr>
        <w:jc w:val="both"/>
        <w:rPr>
          <w:rFonts w:asciiTheme="minorHAnsi" w:eastAsia="Calibri" w:hAnsiTheme="minorHAnsi" w:cstheme="minorHAnsi"/>
        </w:rPr>
      </w:pPr>
      <w:r>
        <w:rPr>
          <w:rFonts w:asciiTheme="minorHAnsi" w:eastAsia="Calibri" w:hAnsiTheme="minorHAnsi" w:cstheme="minorHAnsi"/>
        </w:rPr>
        <w:t xml:space="preserve">Průběžné zpracování čistopisu </w:t>
      </w:r>
      <w:r w:rsidR="00F37F6E">
        <w:rPr>
          <w:rFonts w:asciiTheme="minorHAnsi" w:eastAsia="Calibri" w:hAnsiTheme="minorHAnsi" w:cstheme="minorHAnsi"/>
        </w:rPr>
        <w:t xml:space="preserve">DSP </w:t>
      </w:r>
      <w:r>
        <w:rPr>
          <w:rFonts w:asciiTheme="minorHAnsi" w:eastAsia="Calibri" w:hAnsiTheme="minorHAnsi" w:cstheme="minorHAnsi"/>
        </w:rPr>
        <w:t xml:space="preserve">bude prezentováno objednateli min. na 1 konzultačním jednání. </w:t>
      </w:r>
    </w:p>
    <w:p w14:paraId="10B7C1F8" w14:textId="77777777" w:rsidR="003B6C2D" w:rsidRDefault="003B6C2D" w:rsidP="003B6C2D">
      <w:pPr>
        <w:jc w:val="both"/>
        <w:rPr>
          <w:rFonts w:asciiTheme="minorHAnsi" w:eastAsia="Calibri" w:hAnsiTheme="minorHAnsi" w:cstheme="minorHAnsi"/>
        </w:rPr>
      </w:pPr>
      <w:r>
        <w:rPr>
          <w:rFonts w:asciiTheme="minorHAnsi" w:eastAsia="Calibri" w:hAnsiTheme="minorHAnsi" w:cstheme="minorHAnsi"/>
        </w:rPr>
        <w:t>Průběžné výstupy budou objednateli předávány v digitální podobě dle dohody buď emailem příp. prostřednictvím datového úložiště,</w:t>
      </w:r>
      <w:r w:rsidRPr="00532744">
        <w:t xml:space="preserve"> </w:t>
      </w:r>
      <w:r w:rsidRPr="00532744">
        <w:rPr>
          <w:rFonts w:asciiTheme="minorHAnsi" w:eastAsia="Calibri" w:hAnsiTheme="minorHAnsi" w:cstheme="minorHAnsi"/>
        </w:rPr>
        <w:t>a to včetně výstupů k předchozímu odsouhlasení před protokolárním předáním</w:t>
      </w:r>
      <w:r>
        <w:rPr>
          <w:rFonts w:asciiTheme="minorHAnsi" w:eastAsia="Calibri" w:hAnsiTheme="minorHAnsi" w:cstheme="minorHAnsi"/>
        </w:rPr>
        <w:t>.</w:t>
      </w:r>
    </w:p>
    <w:p w14:paraId="37FF38CB" w14:textId="55C16922" w:rsidR="003B6C2D" w:rsidRDefault="00CB6A51" w:rsidP="003B6C2D">
      <w:pPr>
        <w:pStyle w:val="Odstavecseseznamem"/>
        <w:ind w:left="0"/>
        <w:jc w:val="both"/>
        <w:rPr>
          <w:rFonts w:cstheme="minorHAnsi"/>
        </w:rPr>
      </w:pPr>
      <w:r>
        <w:t xml:space="preserve">Způsob předání </w:t>
      </w:r>
      <w:r w:rsidR="00142302">
        <w:t>milníku – protokolární</w:t>
      </w:r>
      <w:r>
        <w:t xml:space="preserve"> s předchozím odsouhlasením dle čl. VII odst. 1 smlouvy</w:t>
      </w:r>
      <w:r>
        <w:rPr>
          <w:rFonts w:cstheme="minorHAnsi"/>
        </w:rPr>
        <w:t>.</w:t>
      </w:r>
      <w:r w:rsidRPr="00080155">
        <w:rPr>
          <w:rFonts w:cstheme="minorHAnsi"/>
        </w:rPr>
        <w:t xml:space="preserve"> </w:t>
      </w:r>
      <w:r>
        <w:rPr>
          <w:rFonts w:cstheme="minorHAnsi"/>
        </w:rPr>
        <w:t>Dokladem o dosažení milníku pro účely fakturace je předávací protokol.</w:t>
      </w:r>
    </w:p>
    <w:p w14:paraId="72D08AFB" w14:textId="234454A4" w:rsidR="006071A6" w:rsidRPr="00CB6A51" w:rsidRDefault="00CB6A51" w:rsidP="00CB6A51">
      <w:pPr>
        <w:tabs>
          <w:tab w:val="left" w:pos="284"/>
        </w:tabs>
        <w:spacing w:before="60" w:after="60" w:line="240" w:lineRule="auto"/>
        <w:jc w:val="both"/>
        <w:rPr>
          <w:rFonts w:asciiTheme="minorHAnsi" w:eastAsia="Calibri" w:hAnsiTheme="minorHAnsi" w:cstheme="minorHAnsi"/>
        </w:rPr>
      </w:pPr>
      <w:r w:rsidRPr="00CB6A51">
        <w:rPr>
          <w:rFonts w:asciiTheme="minorHAnsi" w:hAnsiTheme="minorHAnsi" w:cstheme="minorHAnsi"/>
        </w:rPr>
        <w:t xml:space="preserve">Čistopis DSP </w:t>
      </w:r>
      <w:r>
        <w:rPr>
          <w:rFonts w:asciiTheme="minorHAnsi" w:hAnsiTheme="minorHAnsi" w:cstheme="minorHAnsi"/>
        </w:rPr>
        <w:t xml:space="preserve">včetně souhrnného rozpočtu </w:t>
      </w:r>
      <w:r w:rsidRPr="00CB6A51">
        <w:rPr>
          <w:rFonts w:asciiTheme="minorHAnsi" w:hAnsiTheme="minorHAnsi" w:cstheme="minorHAnsi"/>
        </w:rPr>
        <w:t xml:space="preserve">v rámci protokolárního předání bude předán objednateli </w:t>
      </w:r>
      <w:r w:rsidRPr="00CB6A51">
        <w:rPr>
          <w:rFonts w:asciiTheme="minorHAnsi" w:eastAsia="Calibri" w:hAnsiTheme="minorHAnsi" w:cstheme="minorHAnsi"/>
        </w:rPr>
        <w:t xml:space="preserve">v elektronické formě </w:t>
      </w:r>
      <w:r w:rsidRPr="00CB6A51">
        <w:rPr>
          <w:rFonts w:asciiTheme="minorHAnsi" w:hAnsiTheme="minorHAnsi" w:cstheme="minorHAnsi"/>
        </w:rPr>
        <w:t>na disku příp. prostřednictvím nástrojů elektronické komunikace</w:t>
      </w:r>
      <w:r w:rsidRPr="00CB6A51">
        <w:rPr>
          <w:rFonts w:asciiTheme="minorHAnsi" w:eastAsia="Calibri" w:hAnsiTheme="minorHAnsi" w:cstheme="minorHAnsi"/>
        </w:rPr>
        <w:t xml:space="preserve"> ve zdrojových souborech - *.doc, *.</w:t>
      </w:r>
      <w:proofErr w:type="spellStart"/>
      <w:r w:rsidRPr="00CB6A51">
        <w:rPr>
          <w:rFonts w:asciiTheme="minorHAnsi" w:eastAsia="Calibri" w:hAnsiTheme="minorHAnsi" w:cstheme="minorHAnsi"/>
        </w:rPr>
        <w:t>xls</w:t>
      </w:r>
      <w:proofErr w:type="spellEnd"/>
      <w:r w:rsidRPr="00CB6A51">
        <w:rPr>
          <w:rFonts w:asciiTheme="minorHAnsi" w:eastAsia="Calibri" w:hAnsiTheme="minorHAnsi" w:cstheme="minorHAnsi"/>
        </w:rPr>
        <w:t>, *.</w:t>
      </w:r>
      <w:proofErr w:type="spellStart"/>
      <w:r w:rsidRPr="00CB6A51">
        <w:rPr>
          <w:rFonts w:asciiTheme="minorHAnsi" w:eastAsia="Calibri" w:hAnsiTheme="minorHAnsi" w:cstheme="minorHAnsi"/>
        </w:rPr>
        <w:t>dwg</w:t>
      </w:r>
      <w:proofErr w:type="spellEnd"/>
      <w:r w:rsidRPr="00CB6A51">
        <w:rPr>
          <w:rFonts w:asciiTheme="minorHAnsi" w:eastAsia="Calibri" w:hAnsiTheme="minorHAnsi" w:cstheme="minorHAnsi"/>
        </w:rPr>
        <w:t>, * a *.</w:t>
      </w:r>
      <w:proofErr w:type="spellStart"/>
      <w:r w:rsidRPr="00CB6A51">
        <w:rPr>
          <w:rFonts w:asciiTheme="minorHAnsi" w:eastAsia="Calibri" w:hAnsiTheme="minorHAnsi" w:cstheme="minorHAnsi"/>
        </w:rPr>
        <w:t>pdf</w:t>
      </w:r>
      <w:proofErr w:type="spellEnd"/>
      <w:r w:rsidRPr="00CB6A51">
        <w:rPr>
          <w:rFonts w:asciiTheme="minorHAnsi" w:eastAsia="Calibri" w:hAnsiTheme="minorHAnsi" w:cstheme="minorHAnsi"/>
        </w:rPr>
        <w:t>.</w:t>
      </w:r>
    </w:p>
    <w:p w14:paraId="71570D06" w14:textId="77777777" w:rsidR="00C47F9A" w:rsidRDefault="00C47F9A" w:rsidP="003B6C2D">
      <w:pPr>
        <w:tabs>
          <w:tab w:val="left" w:pos="284"/>
        </w:tabs>
        <w:spacing w:before="60" w:after="60" w:line="240" w:lineRule="auto"/>
        <w:jc w:val="both"/>
        <w:rPr>
          <w:rFonts w:asciiTheme="minorHAnsi" w:eastAsia="Calibri" w:hAnsiTheme="minorHAnsi" w:cstheme="minorHAnsi"/>
        </w:rPr>
      </w:pPr>
    </w:p>
    <w:p w14:paraId="3DA83548" w14:textId="0F6FD82B" w:rsidR="00C47F9A" w:rsidRPr="005263E6" w:rsidRDefault="00C47F9A" w:rsidP="00C47F9A">
      <w:pPr>
        <w:spacing w:after="0" w:line="240" w:lineRule="auto"/>
        <w:rPr>
          <w:rFonts w:asciiTheme="minorHAnsi" w:eastAsia="Calibri" w:hAnsiTheme="minorHAnsi" w:cs="Calibri"/>
          <w:b/>
        </w:rPr>
      </w:pPr>
      <w:r w:rsidRPr="005263E6">
        <w:rPr>
          <w:rFonts w:asciiTheme="minorHAnsi" w:eastAsia="Calibri" w:hAnsiTheme="minorHAnsi" w:cs="Calibri"/>
          <w:b/>
        </w:rPr>
        <w:t xml:space="preserve">Milník </w:t>
      </w:r>
      <w:r>
        <w:rPr>
          <w:rFonts w:asciiTheme="minorHAnsi" w:eastAsia="Calibri" w:hAnsiTheme="minorHAnsi" w:cs="Calibri"/>
          <w:b/>
        </w:rPr>
        <w:t>4</w:t>
      </w:r>
      <w:r w:rsidRPr="005263E6">
        <w:rPr>
          <w:rFonts w:asciiTheme="minorHAnsi" w:eastAsia="Calibri" w:hAnsiTheme="minorHAnsi" w:cs="Calibri"/>
          <w:b/>
        </w:rPr>
        <w:t xml:space="preserve"> – </w:t>
      </w:r>
      <w:r>
        <w:rPr>
          <w:rFonts w:asciiTheme="minorHAnsi" w:eastAsia="Calibri" w:hAnsiTheme="minorHAnsi" w:cs="Calibri"/>
          <w:b/>
        </w:rPr>
        <w:t xml:space="preserve">zajištění </w:t>
      </w:r>
      <w:r w:rsidR="00D23E64">
        <w:rPr>
          <w:rFonts w:asciiTheme="minorHAnsi" w:eastAsia="Calibri" w:hAnsiTheme="minorHAnsi" w:cs="Calibri"/>
          <w:b/>
        </w:rPr>
        <w:t>povolení záměru</w:t>
      </w:r>
      <w:r>
        <w:rPr>
          <w:rFonts w:asciiTheme="minorHAnsi" w:eastAsia="Calibri" w:hAnsiTheme="minorHAnsi" w:cs="Calibri"/>
          <w:b/>
        </w:rPr>
        <w:t xml:space="preserve"> v právní moci</w:t>
      </w:r>
    </w:p>
    <w:p w14:paraId="2B7EE1C6" w14:textId="3FB3F65C" w:rsidR="00C47F9A" w:rsidRPr="004104B6" w:rsidRDefault="00C47F9A" w:rsidP="00C47F9A">
      <w:pPr>
        <w:tabs>
          <w:tab w:val="left" w:pos="284"/>
        </w:tabs>
        <w:spacing w:before="60" w:after="60" w:line="240" w:lineRule="auto"/>
        <w:jc w:val="both"/>
        <w:rPr>
          <w:rFonts w:asciiTheme="minorHAnsi" w:eastAsia="Calibri" w:hAnsiTheme="minorHAnsi" w:cstheme="minorHAnsi"/>
        </w:rPr>
      </w:pPr>
      <w:r w:rsidRPr="004104B6">
        <w:rPr>
          <w:rFonts w:asciiTheme="minorHAnsi" w:eastAsia="Calibri" w:hAnsiTheme="minorHAnsi" w:cstheme="minorHAnsi"/>
        </w:rPr>
        <w:t xml:space="preserve">V rámci tohoto milníku je zhotovitel povinen </w:t>
      </w:r>
      <w:r w:rsidRPr="004104B6">
        <w:rPr>
          <w:rFonts w:asciiTheme="minorHAnsi" w:hAnsiTheme="minorHAnsi" w:cstheme="minorHAnsi"/>
          <w:iCs/>
        </w:rPr>
        <w:t xml:space="preserve">zajistit všechny potřebné doklady či dokumenty nutné pro podání žádosti o vydání povolení </w:t>
      </w:r>
      <w:r w:rsidR="00D23E64">
        <w:rPr>
          <w:rFonts w:asciiTheme="minorHAnsi" w:hAnsiTheme="minorHAnsi" w:cstheme="minorHAnsi"/>
          <w:iCs/>
        </w:rPr>
        <w:t xml:space="preserve">záměru </w:t>
      </w:r>
      <w:r w:rsidRPr="004104B6">
        <w:rPr>
          <w:rFonts w:asciiTheme="minorHAnsi" w:hAnsiTheme="minorHAnsi" w:cstheme="minorHAnsi"/>
          <w:iCs/>
        </w:rPr>
        <w:t xml:space="preserve">u stavebního úřadu, zpracovat žádost o vydání tohoto povolení a podat tuto žádost u příslušného stavebního úřadu. </w:t>
      </w:r>
      <w:r w:rsidRPr="004104B6">
        <w:rPr>
          <w:rFonts w:asciiTheme="minorHAnsi" w:eastAsia="Calibri" w:hAnsiTheme="minorHAnsi" w:cstheme="minorHAnsi"/>
        </w:rPr>
        <w:t xml:space="preserve">Zhotovitel je povinen zastupovat objednatele v řízení </w:t>
      </w:r>
      <w:r w:rsidR="00CC5E16">
        <w:rPr>
          <w:rFonts w:asciiTheme="minorHAnsi" w:eastAsia="Calibri" w:hAnsiTheme="minorHAnsi" w:cstheme="minorHAnsi"/>
        </w:rPr>
        <w:t xml:space="preserve">o povolení záměru </w:t>
      </w:r>
      <w:r w:rsidRPr="004104B6">
        <w:rPr>
          <w:rFonts w:asciiTheme="minorHAnsi" w:eastAsia="Calibri" w:hAnsiTheme="minorHAnsi" w:cstheme="minorHAnsi"/>
        </w:rPr>
        <w:t>a učinit veškeré úkony a jednání potřebné pro vydání povolení, včetně případných potřebných úprav projektové dokumentace.</w:t>
      </w:r>
    </w:p>
    <w:p w14:paraId="4ADD97A1" w14:textId="6B30416E" w:rsidR="00C47F9A" w:rsidRDefault="00C47F9A" w:rsidP="00C47F9A">
      <w:pPr>
        <w:tabs>
          <w:tab w:val="left" w:pos="284"/>
        </w:tabs>
        <w:spacing w:before="60" w:after="60" w:line="240" w:lineRule="auto"/>
        <w:jc w:val="both"/>
        <w:rPr>
          <w:rFonts w:asciiTheme="minorHAnsi" w:hAnsiTheme="minorHAnsi" w:cstheme="minorHAnsi"/>
        </w:rPr>
      </w:pPr>
    </w:p>
    <w:p w14:paraId="78A2E151" w14:textId="3A2CA42D" w:rsidR="00C47F9A" w:rsidRDefault="00C47F9A" w:rsidP="00C47F9A">
      <w:pPr>
        <w:spacing w:after="0" w:line="240" w:lineRule="auto"/>
        <w:jc w:val="both"/>
        <w:rPr>
          <w:rFonts w:asciiTheme="minorHAnsi" w:eastAsia="Calibri" w:hAnsiTheme="minorHAnsi" w:cstheme="minorHAnsi"/>
        </w:rPr>
      </w:pPr>
      <w:r w:rsidRPr="00191C01">
        <w:rPr>
          <w:rFonts w:asciiTheme="minorHAnsi" w:eastAsia="Calibri" w:hAnsiTheme="minorHAnsi" w:cstheme="minorHAnsi"/>
        </w:rPr>
        <w:t xml:space="preserve">Lhůty pro splnění tohoto milníku jsou stanoveny v souladu s rozhodovací praxí orgánů veřejné správy, zhotovitel neodpovídá za případná prodlení ze strany orgánů veřejné správy, jestliže je nezaviní v důsledku nedostatků vlastních podání či v důsledku vlastních </w:t>
      </w:r>
      <w:r w:rsidRPr="00FE71FC">
        <w:rPr>
          <w:rFonts w:asciiTheme="minorHAnsi" w:eastAsia="Calibri" w:hAnsiTheme="minorHAnsi" w:cstheme="minorHAnsi"/>
        </w:rPr>
        <w:t>prodlení.</w:t>
      </w:r>
    </w:p>
    <w:p w14:paraId="5DA333C1" w14:textId="5EE348B0" w:rsidR="00D23E64" w:rsidRPr="00FE71FC" w:rsidRDefault="00D23E64" w:rsidP="00C47F9A">
      <w:pPr>
        <w:spacing w:after="0" w:line="240" w:lineRule="auto"/>
        <w:jc w:val="both"/>
        <w:rPr>
          <w:rFonts w:asciiTheme="minorHAnsi" w:eastAsia="Calibri" w:hAnsiTheme="minorHAnsi" w:cstheme="minorHAnsi"/>
        </w:rPr>
      </w:pPr>
      <w:r>
        <w:rPr>
          <w:rFonts w:asciiTheme="minorHAnsi" w:eastAsia="Calibri" w:hAnsiTheme="minorHAnsi" w:cstheme="minorHAnsi"/>
        </w:rPr>
        <w:t xml:space="preserve">Objednatel zhotoviteli doporučuje, aby si již v rámci tohoto milníku začal s příslušnými úřady </w:t>
      </w:r>
      <w:proofErr w:type="spellStart"/>
      <w:r>
        <w:rPr>
          <w:rFonts w:asciiTheme="minorHAnsi" w:eastAsia="Calibri" w:hAnsiTheme="minorHAnsi" w:cstheme="minorHAnsi"/>
        </w:rPr>
        <w:t>předjednávat</w:t>
      </w:r>
      <w:proofErr w:type="spellEnd"/>
      <w:r>
        <w:rPr>
          <w:rFonts w:asciiTheme="minorHAnsi" w:eastAsia="Calibri" w:hAnsiTheme="minorHAnsi" w:cstheme="minorHAnsi"/>
        </w:rPr>
        <w:t xml:space="preserve"> i další povolení</w:t>
      </w:r>
      <w:r w:rsidRPr="00D23E64">
        <w:rPr>
          <w:rFonts w:asciiTheme="minorHAnsi" w:eastAsia="Calibri" w:hAnsiTheme="minorHAnsi" w:cstheme="minorHAnsi"/>
        </w:rPr>
        <w:t xml:space="preserve"> </w:t>
      </w:r>
      <w:r>
        <w:rPr>
          <w:rFonts w:asciiTheme="minorHAnsi" w:eastAsia="Calibri" w:hAnsiTheme="minorHAnsi" w:cstheme="minorHAnsi"/>
        </w:rPr>
        <w:t>potřebná k realizaci díla, zejména pak DIO</w:t>
      </w:r>
      <w:r w:rsidR="00635693">
        <w:rPr>
          <w:rFonts w:asciiTheme="minorHAnsi" w:eastAsia="Calibri" w:hAnsiTheme="minorHAnsi" w:cstheme="minorHAnsi"/>
        </w:rPr>
        <w:t>, jehož vyřízení podle zkušeností objednatele trvá ve městě Chomutov déle</w:t>
      </w:r>
      <w:r w:rsidR="001C3682">
        <w:rPr>
          <w:rFonts w:asciiTheme="minorHAnsi" w:eastAsia="Calibri" w:hAnsiTheme="minorHAnsi" w:cstheme="minorHAnsi"/>
        </w:rPr>
        <w:t>,</w:t>
      </w:r>
      <w:r w:rsidR="00635693">
        <w:rPr>
          <w:rFonts w:asciiTheme="minorHAnsi" w:eastAsia="Calibri" w:hAnsiTheme="minorHAnsi" w:cstheme="minorHAnsi"/>
        </w:rPr>
        <w:t xml:space="preserve"> než dodavatelé očekávají</w:t>
      </w:r>
      <w:r>
        <w:rPr>
          <w:rFonts w:asciiTheme="minorHAnsi" w:eastAsia="Calibri" w:hAnsiTheme="minorHAnsi" w:cstheme="minorHAnsi"/>
        </w:rPr>
        <w:t>.</w:t>
      </w:r>
    </w:p>
    <w:p w14:paraId="1BAAE5E0" w14:textId="77777777" w:rsidR="00C47F9A" w:rsidRPr="00FE71FC" w:rsidRDefault="00C47F9A" w:rsidP="00C47F9A">
      <w:pPr>
        <w:spacing w:after="0" w:line="240" w:lineRule="auto"/>
        <w:jc w:val="both"/>
        <w:rPr>
          <w:rFonts w:asciiTheme="minorHAnsi" w:eastAsia="Calibri" w:hAnsiTheme="minorHAnsi" w:cstheme="minorHAnsi"/>
        </w:rPr>
      </w:pPr>
    </w:p>
    <w:p w14:paraId="1B389C81" w14:textId="75FEF0B3" w:rsidR="00C47F9A" w:rsidRPr="00C47F9A" w:rsidRDefault="00C47F9A" w:rsidP="00C47F9A">
      <w:pPr>
        <w:spacing w:after="0" w:line="240" w:lineRule="auto"/>
        <w:jc w:val="both"/>
        <w:rPr>
          <w:rFonts w:asciiTheme="minorHAnsi" w:eastAsia="Calibri" w:hAnsiTheme="minorHAnsi" w:cstheme="minorHAnsi"/>
        </w:rPr>
      </w:pPr>
      <w:r w:rsidRPr="00C47F9A">
        <w:rPr>
          <w:rFonts w:asciiTheme="minorHAnsi" w:eastAsia="Calibri" w:hAnsiTheme="minorHAnsi" w:cstheme="minorHAnsi"/>
        </w:rPr>
        <w:t xml:space="preserve">Tento milník je považován za dokončený nabytím právní moci povolení, a bude předán objednateli ve formě originálu povolení </w:t>
      </w:r>
      <w:r w:rsidR="00CC5E16">
        <w:rPr>
          <w:rFonts w:asciiTheme="minorHAnsi" w:eastAsia="Calibri" w:hAnsiTheme="minorHAnsi" w:cstheme="minorHAnsi"/>
        </w:rPr>
        <w:t xml:space="preserve">záměru </w:t>
      </w:r>
      <w:r w:rsidRPr="00C47F9A">
        <w:rPr>
          <w:rFonts w:asciiTheme="minorHAnsi" w:eastAsia="Calibri" w:hAnsiTheme="minorHAnsi" w:cstheme="minorHAnsi"/>
        </w:rPr>
        <w:t xml:space="preserve">s vyznačenou doložkou právní moci. </w:t>
      </w:r>
    </w:p>
    <w:p w14:paraId="471DAD2C" w14:textId="77777777" w:rsidR="00C47F9A" w:rsidRPr="00191C01" w:rsidRDefault="00C47F9A" w:rsidP="00C47F9A">
      <w:pPr>
        <w:spacing w:after="0" w:line="240" w:lineRule="auto"/>
        <w:jc w:val="both"/>
        <w:rPr>
          <w:rFonts w:asciiTheme="minorHAnsi" w:eastAsia="Calibri" w:hAnsiTheme="minorHAnsi" w:cstheme="minorHAnsi"/>
        </w:rPr>
      </w:pPr>
    </w:p>
    <w:p w14:paraId="7C4EDDE0" w14:textId="12F94C8D" w:rsidR="00C47F9A" w:rsidRPr="00C47F9A" w:rsidRDefault="00C47F9A" w:rsidP="00C47F9A">
      <w:pPr>
        <w:tabs>
          <w:tab w:val="left" w:pos="284"/>
        </w:tabs>
        <w:spacing w:before="60" w:after="60" w:line="240" w:lineRule="auto"/>
        <w:jc w:val="both"/>
        <w:rPr>
          <w:rFonts w:asciiTheme="minorHAnsi" w:hAnsiTheme="minorHAnsi" w:cstheme="minorHAnsi"/>
        </w:rPr>
      </w:pPr>
      <w:r w:rsidRPr="00C47F9A">
        <w:rPr>
          <w:rFonts w:asciiTheme="minorHAnsi" w:hAnsiTheme="minorHAnsi" w:cstheme="minorHAnsi"/>
        </w:rPr>
        <w:t xml:space="preserve">Způsob předání </w:t>
      </w:r>
      <w:r w:rsidR="00142302" w:rsidRPr="00C47F9A">
        <w:rPr>
          <w:rFonts w:asciiTheme="minorHAnsi" w:hAnsiTheme="minorHAnsi" w:cstheme="minorHAnsi"/>
        </w:rPr>
        <w:t>milníku – protokolární</w:t>
      </w:r>
      <w:r w:rsidRPr="00C47F9A">
        <w:rPr>
          <w:rFonts w:asciiTheme="minorHAnsi" w:hAnsiTheme="minorHAnsi" w:cstheme="minorHAnsi"/>
        </w:rPr>
        <w:t xml:space="preserve"> bez předchozího odsouhlasení. Čl. VII odst. 1 smlouvy se použije přiměřeně, ovšem bez nutnosti získat ještě před protokolárním předáním souhlas objednatele s podobou výstupu. Dokladem o dosažení milníku pro účely fakturace je předávací protokol.</w:t>
      </w:r>
    </w:p>
    <w:p w14:paraId="3B5FA4FA" w14:textId="77777777" w:rsidR="00265A23" w:rsidRDefault="00265A23" w:rsidP="00265A23">
      <w:pPr>
        <w:tabs>
          <w:tab w:val="left" w:pos="284"/>
        </w:tabs>
        <w:spacing w:before="60" w:after="60" w:line="240" w:lineRule="auto"/>
        <w:ind w:left="-426"/>
        <w:jc w:val="both"/>
        <w:rPr>
          <w:rFonts w:ascii="Calibri" w:hAnsi="Calibri" w:cs="Calibri"/>
        </w:rPr>
      </w:pPr>
    </w:p>
    <w:p w14:paraId="4F93158E" w14:textId="3DBF532C" w:rsidR="007518F0" w:rsidRDefault="00E522B6" w:rsidP="00BB76A2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before="360" w:after="120"/>
        <w:rPr>
          <w:rFonts w:asciiTheme="minorHAnsi" w:eastAsia="Calibri" w:hAnsiTheme="minorHAnsi" w:cs="Calibri"/>
          <w:b/>
          <w:color w:val="002060"/>
          <w:sz w:val="32"/>
          <w:szCs w:val="32"/>
        </w:rPr>
      </w:pPr>
      <w:r w:rsidRPr="00BB76A2">
        <w:rPr>
          <w:rFonts w:asciiTheme="minorHAnsi" w:eastAsia="Calibri" w:hAnsiTheme="minorHAnsi" w:cs="Calibri"/>
          <w:b/>
          <w:color w:val="002060"/>
          <w:sz w:val="32"/>
          <w:szCs w:val="32"/>
        </w:rPr>
        <w:t>ČÁST II.</w:t>
      </w:r>
      <w:r w:rsidR="005263E6" w:rsidRPr="00BB76A2">
        <w:rPr>
          <w:rFonts w:asciiTheme="minorHAnsi" w:eastAsia="Calibri" w:hAnsiTheme="minorHAnsi" w:cs="Calibri"/>
          <w:b/>
          <w:color w:val="002060"/>
          <w:sz w:val="32"/>
          <w:szCs w:val="32"/>
        </w:rPr>
        <w:t xml:space="preserve"> – </w:t>
      </w:r>
      <w:r w:rsidR="008F6642">
        <w:rPr>
          <w:rFonts w:asciiTheme="minorHAnsi" w:eastAsia="Calibri" w:hAnsiTheme="minorHAnsi" w:cs="Calibri"/>
          <w:b/>
          <w:color w:val="002060"/>
          <w:sz w:val="32"/>
          <w:szCs w:val="32"/>
        </w:rPr>
        <w:t>R</w:t>
      </w:r>
      <w:r w:rsidR="004165CB">
        <w:rPr>
          <w:rFonts w:asciiTheme="minorHAnsi" w:eastAsia="Calibri" w:hAnsiTheme="minorHAnsi" w:cs="Calibri"/>
          <w:b/>
          <w:color w:val="002060"/>
          <w:sz w:val="32"/>
          <w:szCs w:val="32"/>
        </w:rPr>
        <w:t>ealizace</w:t>
      </w:r>
    </w:p>
    <w:p w14:paraId="201DA3BD" w14:textId="3EFBF413" w:rsidR="007518F0" w:rsidRDefault="007518F0" w:rsidP="007518F0">
      <w:pPr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M</w:t>
      </w:r>
      <w:r w:rsidRPr="005263E6">
        <w:rPr>
          <w:rFonts w:asciiTheme="minorHAnsi" w:hAnsiTheme="minorHAnsi" w:cstheme="minorHAnsi"/>
          <w:b/>
        </w:rPr>
        <w:t xml:space="preserve">ilník 1 – </w:t>
      </w:r>
      <w:r w:rsidR="00E04643">
        <w:rPr>
          <w:rFonts w:asciiTheme="minorHAnsi" w:hAnsiTheme="minorHAnsi" w:cstheme="minorHAnsi"/>
          <w:b/>
        </w:rPr>
        <w:t>předání/převzetí staveniště</w:t>
      </w:r>
    </w:p>
    <w:p w14:paraId="3070016C" w14:textId="32FE2D8D" w:rsidR="00ED43A0" w:rsidRPr="00ED43A0" w:rsidRDefault="00BF489B" w:rsidP="008A0AAD">
      <w:pPr>
        <w:spacing w:before="240" w:after="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Zhotovitel zajistí kompletní přípravu pro převzetí všech stavenišť tak, aby mohl bezodkladně po převzetí stavenišť zahájit fyzickou realizaci díla, a poté vyzve objednatele k předání stavenišť. Objednatel je povinen staveniště předat zhotoviteli nejpozději do 5 pracovních dnů od výzvy zhotovitele</w:t>
      </w:r>
      <w:r w:rsidR="008A0AAD">
        <w:rPr>
          <w:rFonts w:ascii="Calibri" w:eastAsia="Calibri" w:hAnsi="Calibri" w:cs="Calibri"/>
        </w:rPr>
        <w:t>, za předpokladu, že mu zhotovitel doloží řádné provedení níže uvedených přípravných prací</w:t>
      </w:r>
      <w:r w:rsidR="00ED43A0" w:rsidRPr="00ED43A0">
        <w:rPr>
          <w:rFonts w:ascii="Calibri" w:eastAsia="Calibri" w:hAnsi="Calibri" w:cs="Calibri"/>
        </w:rPr>
        <w:t>:</w:t>
      </w:r>
    </w:p>
    <w:p w14:paraId="53F350DE" w14:textId="77777777" w:rsidR="00ED43A0" w:rsidRPr="00ED43A0" w:rsidRDefault="00ED43A0" w:rsidP="008A0AAD">
      <w:pPr>
        <w:numPr>
          <w:ilvl w:val="0"/>
          <w:numId w:val="36"/>
        </w:numPr>
        <w:spacing w:after="0"/>
        <w:ind w:left="714" w:hanging="357"/>
        <w:rPr>
          <w:rFonts w:ascii="Calibri" w:eastAsia="Calibri" w:hAnsi="Calibri" w:cs="Calibri"/>
        </w:rPr>
      </w:pPr>
      <w:r w:rsidRPr="00ED43A0">
        <w:rPr>
          <w:rFonts w:ascii="Calibri" w:eastAsia="Calibri" w:hAnsi="Calibri" w:cs="Calibri"/>
        </w:rPr>
        <w:t>vytyčení stavebních objektů dle schválené projektové dokumentace,</w:t>
      </w:r>
    </w:p>
    <w:p w14:paraId="38723D2D" w14:textId="5C26557C" w:rsidR="00ED43A0" w:rsidRPr="00ED43A0" w:rsidRDefault="00BF489B" w:rsidP="00ED43A0">
      <w:pPr>
        <w:numPr>
          <w:ilvl w:val="0"/>
          <w:numId w:val="36"/>
        </w:numPr>
        <w:spacing w:after="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zajištění</w:t>
      </w:r>
      <w:r w:rsidRPr="00ED43A0">
        <w:rPr>
          <w:rFonts w:ascii="Calibri" w:eastAsia="Calibri" w:hAnsi="Calibri" w:cs="Calibri"/>
        </w:rPr>
        <w:t xml:space="preserve"> </w:t>
      </w:r>
      <w:r w:rsidR="00ED43A0" w:rsidRPr="00ED43A0">
        <w:rPr>
          <w:rFonts w:ascii="Calibri" w:eastAsia="Calibri" w:hAnsi="Calibri" w:cs="Calibri"/>
        </w:rPr>
        <w:t>všech nezbytných povolení, zajištění přístupu ke všem staveništím,</w:t>
      </w:r>
    </w:p>
    <w:p w14:paraId="582E33C8" w14:textId="77777777" w:rsidR="00ED43A0" w:rsidRPr="00ED43A0" w:rsidRDefault="00ED43A0" w:rsidP="00ED43A0">
      <w:pPr>
        <w:numPr>
          <w:ilvl w:val="0"/>
          <w:numId w:val="36"/>
        </w:numPr>
        <w:spacing w:after="0"/>
        <w:rPr>
          <w:rFonts w:ascii="Calibri" w:eastAsia="Calibri" w:hAnsi="Calibri" w:cs="Calibri"/>
        </w:rPr>
      </w:pPr>
      <w:r w:rsidRPr="00ED43A0">
        <w:rPr>
          <w:rFonts w:ascii="Calibri" w:eastAsia="Calibri" w:hAnsi="Calibri" w:cs="Calibri"/>
        </w:rPr>
        <w:t>koordinace s vlastníky dotčených pozemků a se správci sítí technické infrastruktury,</w:t>
      </w:r>
    </w:p>
    <w:p w14:paraId="7F857212" w14:textId="1B76C9CA" w:rsidR="00ED43A0" w:rsidRPr="00ED43A0" w:rsidRDefault="00ED43A0" w:rsidP="00ED43A0">
      <w:pPr>
        <w:numPr>
          <w:ilvl w:val="0"/>
          <w:numId w:val="36"/>
        </w:numPr>
        <w:spacing w:after="240"/>
        <w:rPr>
          <w:rFonts w:ascii="Calibri" w:eastAsia="Calibri" w:hAnsi="Calibri" w:cs="Calibri"/>
        </w:rPr>
      </w:pPr>
      <w:r w:rsidRPr="00ED43A0">
        <w:rPr>
          <w:rFonts w:ascii="Calibri" w:eastAsia="Calibri" w:hAnsi="Calibri" w:cs="Calibri"/>
        </w:rPr>
        <w:t>harmonogram</w:t>
      </w:r>
      <w:r w:rsidR="008A0AAD">
        <w:rPr>
          <w:rFonts w:ascii="Calibri" w:eastAsia="Calibri" w:hAnsi="Calibri" w:cs="Calibri"/>
        </w:rPr>
        <w:t>y</w:t>
      </w:r>
      <w:r w:rsidRPr="00ED43A0">
        <w:rPr>
          <w:rFonts w:ascii="Calibri" w:eastAsia="Calibri" w:hAnsi="Calibri" w:cs="Calibri"/>
        </w:rPr>
        <w:t xml:space="preserve"> realizace s detailním časovým plánem výstavby pro každou jednotlivou lokalitu</w:t>
      </w:r>
      <w:r w:rsidR="008A0AAD">
        <w:rPr>
          <w:rFonts w:ascii="Calibri" w:eastAsia="Calibri" w:hAnsi="Calibri" w:cs="Calibri"/>
        </w:rPr>
        <w:t xml:space="preserve">, které zhotovitel předá objednateli </w:t>
      </w:r>
      <w:r w:rsidR="00FE2496">
        <w:rPr>
          <w:rFonts w:ascii="Calibri" w:eastAsia="Calibri" w:hAnsi="Calibri" w:cs="Calibri"/>
        </w:rPr>
        <w:t xml:space="preserve">nejpozději </w:t>
      </w:r>
      <w:r w:rsidR="008A0AAD">
        <w:rPr>
          <w:rFonts w:ascii="Calibri" w:eastAsia="Calibri" w:hAnsi="Calibri" w:cs="Calibri"/>
        </w:rPr>
        <w:t>při předání stavenišť</w:t>
      </w:r>
      <w:r w:rsidRPr="00ED43A0">
        <w:rPr>
          <w:rFonts w:ascii="Calibri" w:eastAsia="Calibri" w:hAnsi="Calibri" w:cs="Calibri"/>
        </w:rPr>
        <w:t>.</w:t>
      </w:r>
    </w:p>
    <w:p w14:paraId="7705B918" w14:textId="77777777" w:rsidR="00ED43A0" w:rsidRPr="00ED43A0" w:rsidRDefault="00ED43A0" w:rsidP="00ED43A0">
      <w:pPr>
        <w:pStyle w:val="Nadpis3"/>
        <w:keepNext w:val="0"/>
        <w:keepLines w:val="0"/>
        <w:rPr>
          <w:rFonts w:ascii="Calibri" w:eastAsia="Calibri" w:hAnsi="Calibri" w:cs="Calibri"/>
          <w:color w:val="auto"/>
          <w:sz w:val="22"/>
          <w:szCs w:val="22"/>
        </w:rPr>
      </w:pPr>
      <w:bookmarkStart w:id="2" w:name="_heading=h.uiddekqa752w"/>
      <w:bookmarkEnd w:id="2"/>
      <w:r w:rsidRPr="00ED43A0">
        <w:rPr>
          <w:rFonts w:ascii="Calibri" w:eastAsia="Calibri" w:hAnsi="Calibri" w:cs="Calibri"/>
          <w:color w:val="auto"/>
          <w:sz w:val="22"/>
          <w:szCs w:val="22"/>
        </w:rPr>
        <w:t>Způsob předání milníku:</w:t>
      </w:r>
    </w:p>
    <w:p w14:paraId="319AD1E5" w14:textId="254D4A3D" w:rsidR="00ED43A0" w:rsidRPr="00ED43A0" w:rsidRDefault="00ED43A0" w:rsidP="00ED43A0">
      <w:pPr>
        <w:spacing w:before="240" w:after="240"/>
        <w:rPr>
          <w:rFonts w:ascii="Calibri" w:eastAsia="Calibri" w:hAnsi="Calibri" w:cs="Calibri"/>
        </w:rPr>
      </w:pPr>
      <w:r w:rsidRPr="00ED43A0">
        <w:rPr>
          <w:rFonts w:ascii="Calibri" w:eastAsia="Calibri" w:hAnsi="Calibri" w:cs="Calibri"/>
        </w:rPr>
        <w:t>Milník bude považován za splněný po protokolárním převzetí</w:t>
      </w:r>
      <w:r w:rsidR="008A0AAD">
        <w:rPr>
          <w:rFonts w:ascii="Calibri" w:eastAsia="Calibri" w:hAnsi="Calibri" w:cs="Calibri"/>
        </w:rPr>
        <w:t xml:space="preserve"> všech</w:t>
      </w:r>
      <w:r w:rsidRPr="00ED43A0">
        <w:rPr>
          <w:rFonts w:ascii="Calibri" w:eastAsia="Calibri" w:hAnsi="Calibri" w:cs="Calibri"/>
        </w:rPr>
        <w:t xml:space="preserve"> staveniš</w:t>
      </w:r>
      <w:r w:rsidR="008A0AAD">
        <w:rPr>
          <w:rFonts w:ascii="Calibri" w:eastAsia="Calibri" w:hAnsi="Calibri" w:cs="Calibri"/>
        </w:rPr>
        <w:t>ť</w:t>
      </w:r>
      <w:r w:rsidRPr="00ED43A0">
        <w:rPr>
          <w:rFonts w:ascii="Calibri" w:eastAsia="Calibri" w:hAnsi="Calibri" w:cs="Calibri"/>
        </w:rPr>
        <w:t xml:space="preserve"> </w:t>
      </w:r>
      <w:r w:rsidR="008A0AAD">
        <w:rPr>
          <w:rFonts w:ascii="Calibri" w:eastAsia="Calibri" w:hAnsi="Calibri" w:cs="Calibri"/>
        </w:rPr>
        <w:t>zhotovitelem</w:t>
      </w:r>
      <w:r w:rsidRPr="00ED43A0">
        <w:rPr>
          <w:rFonts w:ascii="Calibri" w:eastAsia="Calibri" w:hAnsi="Calibri" w:cs="Calibri"/>
        </w:rPr>
        <w:t xml:space="preserve">. Dokladem o dosažení milníku pro účely fakturace je </w:t>
      </w:r>
      <w:r w:rsidR="00B04A41">
        <w:rPr>
          <w:rFonts w:ascii="Calibri" w:eastAsia="Calibri" w:hAnsi="Calibri" w:cs="Calibri"/>
        </w:rPr>
        <w:t xml:space="preserve">oboustranně podepsaný </w:t>
      </w:r>
      <w:r w:rsidRPr="00ED43A0">
        <w:rPr>
          <w:rFonts w:ascii="Calibri" w:eastAsia="Calibri" w:hAnsi="Calibri" w:cs="Calibri"/>
        </w:rPr>
        <w:t>předávací protokol</w:t>
      </w:r>
      <w:r w:rsidR="00B04A41">
        <w:rPr>
          <w:rFonts w:ascii="Calibri" w:eastAsia="Calibri" w:hAnsi="Calibri" w:cs="Calibri"/>
        </w:rPr>
        <w:t>.</w:t>
      </w:r>
      <w:r w:rsidR="0061122D">
        <w:rPr>
          <w:rFonts w:ascii="Calibri" w:eastAsia="Calibri" w:hAnsi="Calibri" w:cs="Calibri"/>
        </w:rPr>
        <w:t xml:space="preserve"> </w:t>
      </w:r>
      <w:r w:rsidR="00B04A41">
        <w:rPr>
          <w:rFonts w:ascii="Calibri" w:eastAsia="Calibri" w:hAnsi="Calibri" w:cs="Calibri"/>
        </w:rPr>
        <w:t>Tento protokol nemusí být na samostatné listině, pokud je součástí stavebního deníku</w:t>
      </w:r>
      <w:r w:rsidRPr="00ED43A0">
        <w:rPr>
          <w:rFonts w:ascii="Calibri" w:eastAsia="Calibri" w:hAnsi="Calibri" w:cs="Calibri"/>
        </w:rPr>
        <w:t>.</w:t>
      </w:r>
    </w:p>
    <w:p w14:paraId="2EBEC61F" w14:textId="40EBE1E9" w:rsidR="00E66710" w:rsidRDefault="007518F0" w:rsidP="007518F0">
      <w:pPr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M</w:t>
      </w:r>
      <w:r w:rsidRPr="005263E6">
        <w:rPr>
          <w:rFonts w:asciiTheme="minorHAnsi" w:hAnsiTheme="minorHAnsi" w:cstheme="minorHAnsi"/>
          <w:b/>
        </w:rPr>
        <w:t xml:space="preserve">ilník </w:t>
      </w:r>
      <w:r w:rsidR="00E04643">
        <w:rPr>
          <w:rFonts w:asciiTheme="minorHAnsi" w:hAnsiTheme="minorHAnsi" w:cstheme="minorHAnsi"/>
          <w:b/>
        </w:rPr>
        <w:t>2</w:t>
      </w:r>
      <w:r w:rsidRPr="005263E6">
        <w:rPr>
          <w:rFonts w:asciiTheme="minorHAnsi" w:hAnsiTheme="minorHAnsi" w:cstheme="minorHAnsi"/>
          <w:b/>
        </w:rPr>
        <w:t xml:space="preserve"> –</w:t>
      </w:r>
      <w:r w:rsidR="00B349B8">
        <w:rPr>
          <w:rFonts w:asciiTheme="minorHAnsi" w:hAnsiTheme="minorHAnsi" w:cstheme="minorHAnsi"/>
          <w:b/>
        </w:rPr>
        <w:t xml:space="preserve"> </w:t>
      </w:r>
      <w:r w:rsidR="00684AD9">
        <w:rPr>
          <w:rFonts w:asciiTheme="minorHAnsi" w:hAnsiTheme="minorHAnsi" w:cstheme="minorHAnsi"/>
          <w:b/>
        </w:rPr>
        <w:t>Předání a převzetí díla</w:t>
      </w:r>
    </w:p>
    <w:p w14:paraId="5A3F1071" w14:textId="4CA87665" w:rsidR="00674E37" w:rsidRDefault="00C14120" w:rsidP="00E66710">
      <w:pPr>
        <w:spacing w:before="240" w:after="24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Zhotovitel je povinen</w:t>
      </w:r>
      <w:r w:rsidRPr="00E66710">
        <w:rPr>
          <w:rFonts w:ascii="Calibri" w:eastAsia="Calibri" w:hAnsi="Calibri" w:cs="Calibri"/>
        </w:rPr>
        <w:t xml:space="preserve"> </w:t>
      </w:r>
      <w:r w:rsidR="008B71CD">
        <w:rPr>
          <w:rFonts w:ascii="Calibri" w:eastAsia="Calibri" w:hAnsi="Calibri" w:cs="Calibri"/>
        </w:rPr>
        <w:t>splnit veškeré požadavky a činnosti, které jsou předmětem díla,</w:t>
      </w:r>
      <w:r w:rsidR="008B71CD" w:rsidRPr="00E66710">
        <w:rPr>
          <w:rFonts w:ascii="Calibri" w:eastAsia="Calibri" w:hAnsi="Calibri" w:cs="Calibri"/>
        </w:rPr>
        <w:t xml:space="preserve"> </w:t>
      </w:r>
      <w:r w:rsidR="00E66710" w:rsidRPr="00E66710">
        <w:rPr>
          <w:rFonts w:ascii="Calibri" w:eastAsia="Calibri" w:hAnsi="Calibri" w:cs="Calibri"/>
        </w:rPr>
        <w:t>dokonč</w:t>
      </w:r>
      <w:r>
        <w:rPr>
          <w:rFonts w:ascii="Calibri" w:eastAsia="Calibri" w:hAnsi="Calibri" w:cs="Calibri"/>
        </w:rPr>
        <w:t>it</w:t>
      </w:r>
      <w:r w:rsidR="00E66710" w:rsidRPr="00E66710">
        <w:rPr>
          <w:rFonts w:ascii="Calibri" w:eastAsia="Calibri" w:hAnsi="Calibri" w:cs="Calibri"/>
        </w:rPr>
        <w:t xml:space="preserve"> všech</w:t>
      </w:r>
      <w:r>
        <w:rPr>
          <w:rFonts w:ascii="Calibri" w:eastAsia="Calibri" w:hAnsi="Calibri" w:cs="Calibri"/>
        </w:rPr>
        <w:t>ny</w:t>
      </w:r>
      <w:r w:rsidR="00E66710" w:rsidRPr="00E66710">
        <w:rPr>
          <w:rFonts w:ascii="Calibri" w:eastAsia="Calibri" w:hAnsi="Calibri" w:cs="Calibri"/>
        </w:rPr>
        <w:t xml:space="preserve"> stavební, montážní a technologick</w:t>
      </w:r>
      <w:r>
        <w:rPr>
          <w:rFonts w:ascii="Calibri" w:eastAsia="Calibri" w:hAnsi="Calibri" w:cs="Calibri"/>
        </w:rPr>
        <w:t>é</w:t>
      </w:r>
      <w:r w:rsidR="00E66710" w:rsidRPr="00E66710">
        <w:rPr>
          <w:rFonts w:ascii="Calibri" w:eastAsia="Calibri" w:hAnsi="Calibri" w:cs="Calibri"/>
        </w:rPr>
        <w:t xml:space="preserve"> pr</w:t>
      </w:r>
      <w:r>
        <w:rPr>
          <w:rFonts w:ascii="Calibri" w:eastAsia="Calibri" w:hAnsi="Calibri" w:cs="Calibri"/>
        </w:rPr>
        <w:t>á</w:t>
      </w:r>
      <w:r w:rsidR="00E66710" w:rsidRPr="00E66710">
        <w:rPr>
          <w:rFonts w:ascii="Calibri" w:eastAsia="Calibri" w:hAnsi="Calibri" w:cs="Calibri"/>
        </w:rPr>
        <w:t>c</w:t>
      </w:r>
      <w:r>
        <w:rPr>
          <w:rFonts w:ascii="Calibri" w:eastAsia="Calibri" w:hAnsi="Calibri" w:cs="Calibri"/>
        </w:rPr>
        <w:t xml:space="preserve">e, systém </w:t>
      </w:r>
      <w:r w:rsidR="00684AD9">
        <w:rPr>
          <w:rFonts w:ascii="Calibri" w:eastAsia="Calibri" w:hAnsi="Calibri" w:cs="Calibri"/>
        </w:rPr>
        <w:t xml:space="preserve">spustit a </w:t>
      </w:r>
      <w:r w:rsidR="00674E37">
        <w:rPr>
          <w:rFonts w:ascii="Calibri" w:eastAsia="Calibri" w:hAnsi="Calibri" w:cs="Calibri"/>
        </w:rPr>
        <w:t xml:space="preserve">za účasti objednatele </w:t>
      </w:r>
      <w:r>
        <w:rPr>
          <w:rFonts w:ascii="Calibri" w:eastAsia="Calibri" w:hAnsi="Calibri" w:cs="Calibri"/>
        </w:rPr>
        <w:t>otestovat</w:t>
      </w:r>
      <w:r w:rsidR="008B71CD">
        <w:rPr>
          <w:rFonts w:ascii="Calibri" w:eastAsia="Calibri" w:hAnsi="Calibri" w:cs="Calibri"/>
        </w:rPr>
        <w:t>,</w:t>
      </w:r>
      <w:r w:rsidR="00E66710" w:rsidRPr="00E66710">
        <w:rPr>
          <w:rFonts w:ascii="Calibri" w:eastAsia="Calibri" w:hAnsi="Calibri" w:cs="Calibri"/>
        </w:rPr>
        <w:t xml:space="preserve"> </w:t>
      </w:r>
      <w:r>
        <w:rPr>
          <w:rFonts w:ascii="Calibri" w:eastAsia="Calibri" w:hAnsi="Calibri" w:cs="Calibri"/>
        </w:rPr>
        <w:t xml:space="preserve">a </w:t>
      </w:r>
      <w:r w:rsidR="00684AD9">
        <w:rPr>
          <w:rFonts w:ascii="Calibri" w:eastAsia="Calibri" w:hAnsi="Calibri" w:cs="Calibri"/>
        </w:rPr>
        <w:t>předat dílo objednateli</w:t>
      </w:r>
      <w:r w:rsidR="00E66710" w:rsidRPr="00E66710">
        <w:rPr>
          <w:rFonts w:ascii="Calibri" w:eastAsia="Calibri" w:hAnsi="Calibri" w:cs="Calibri"/>
        </w:rPr>
        <w:t xml:space="preserve">. </w:t>
      </w:r>
    </w:p>
    <w:p w14:paraId="27F08216" w14:textId="75D2E23F" w:rsidR="00E66710" w:rsidRPr="00467E22" w:rsidRDefault="00674E37" w:rsidP="00467E22">
      <w:pPr>
        <w:spacing w:after="0"/>
        <w:rPr>
          <w:rFonts w:ascii="Calibri" w:eastAsia="Calibri" w:hAnsi="Calibri" w:cs="Calibri"/>
        </w:rPr>
      </w:pPr>
      <w:r w:rsidRPr="00467E22">
        <w:rPr>
          <w:rFonts w:ascii="Calibri" w:eastAsia="Calibri" w:hAnsi="Calibri" w:cs="Calibri"/>
        </w:rPr>
        <w:t xml:space="preserve">Zhotovitel </w:t>
      </w:r>
      <w:r w:rsidR="0086416E">
        <w:rPr>
          <w:rFonts w:ascii="Calibri" w:eastAsia="Calibri" w:hAnsi="Calibri" w:cs="Calibri"/>
        </w:rPr>
        <w:t>před výzvou k předání díla zejména</w:t>
      </w:r>
      <w:r w:rsidRPr="00467E22">
        <w:rPr>
          <w:rFonts w:ascii="Calibri" w:eastAsia="Calibri" w:hAnsi="Calibri" w:cs="Calibri"/>
        </w:rPr>
        <w:t xml:space="preserve"> provede</w:t>
      </w:r>
      <w:r w:rsidR="00134E7A">
        <w:rPr>
          <w:rFonts w:ascii="Calibri" w:eastAsia="Calibri" w:hAnsi="Calibri" w:cs="Calibri"/>
        </w:rPr>
        <w:t xml:space="preserve"> či zajistí</w:t>
      </w:r>
      <w:r w:rsidR="00E66710" w:rsidRPr="00467E22">
        <w:rPr>
          <w:rFonts w:ascii="Calibri" w:eastAsia="Calibri" w:hAnsi="Calibri" w:cs="Calibri"/>
        </w:rPr>
        <w:t>:</w:t>
      </w:r>
    </w:p>
    <w:p w14:paraId="50BB49F4" w14:textId="2BEBA2C4" w:rsidR="00E66710" w:rsidRPr="00E66710" w:rsidRDefault="00E66710" w:rsidP="00467E22">
      <w:pPr>
        <w:numPr>
          <w:ilvl w:val="0"/>
          <w:numId w:val="36"/>
        </w:numPr>
        <w:spacing w:after="0"/>
        <w:ind w:left="714" w:hanging="357"/>
        <w:rPr>
          <w:rFonts w:ascii="Calibri" w:eastAsia="Calibri" w:hAnsi="Calibri" w:cs="Calibri"/>
        </w:rPr>
      </w:pPr>
      <w:r w:rsidRPr="00E66710">
        <w:rPr>
          <w:rFonts w:ascii="Calibri" w:eastAsia="Calibri" w:hAnsi="Calibri" w:cs="Calibri"/>
        </w:rPr>
        <w:t>instalaci všech SMART zastávkových označníků včetně e-</w:t>
      </w:r>
      <w:proofErr w:type="spellStart"/>
      <w:r w:rsidRPr="00E66710">
        <w:rPr>
          <w:rFonts w:ascii="Calibri" w:eastAsia="Calibri" w:hAnsi="Calibri" w:cs="Calibri"/>
        </w:rPr>
        <w:t>ink</w:t>
      </w:r>
      <w:proofErr w:type="spellEnd"/>
      <w:r w:rsidRPr="00E66710">
        <w:rPr>
          <w:rFonts w:ascii="Calibri" w:eastAsia="Calibri" w:hAnsi="Calibri" w:cs="Calibri"/>
        </w:rPr>
        <w:t xml:space="preserve"> displejů, odjezdových tabulí a potřebných technologických komponent,</w:t>
      </w:r>
    </w:p>
    <w:p w14:paraId="3C10E5D1" w14:textId="77777777" w:rsidR="00E66710" w:rsidRPr="00E66710" w:rsidRDefault="00E66710" w:rsidP="00467E22">
      <w:pPr>
        <w:numPr>
          <w:ilvl w:val="0"/>
          <w:numId w:val="36"/>
        </w:numPr>
        <w:spacing w:after="0"/>
        <w:ind w:left="714" w:hanging="357"/>
        <w:rPr>
          <w:rFonts w:ascii="Calibri" w:eastAsia="Calibri" w:hAnsi="Calibri" w:cs="Calibri"/>
        </w:rPr>
      </w:pPr>
      <w:r w:rsidRPr="00E66710">
        <w:rPr>
          <w:rFonts w:ascii="Calibri" w:eastAsia="Calibri" w:hAnsi="Calibri" w:cs="Calibri"/>
        </w:rPr>
        <w:t>propojení a napojení na síťové a datové infrastruktury včetně integrace s API DÚK a QRIDE,</w:t>
      </w:r>
    </w:p>
    <w:p w14:paraId="038349B4" w14:textId="117941F5" w:rsidR="00674E37" w:rsidRDefault="00674E37" w:rsidP="00467E22">
      <w:pPr>
        <w:numPr>
          <w:ilvl w:val="0"/>
          <w:numId w:val="36"/>
        </w:numPr>
        <w:spacing w:after="0"/>
        <w:ind w:left="714" w:hanging="357"/>
        <w:rPr>
          <w:rFonts w:ascii="Calibri" w:eastAsia="Calibri" w:hAnsi="Calibri" w:cs="Calibri"/>
        </w:rPr>
      </w:pPr>
      <w:r w:rsidRPr="00E66710">
        <w:rPr>
          <w:rFonts w:ascii="Calibri" w:eastAsia="Calibri" w:hAnsi="Calibri" w:cs="Calibri"/>
        </w:rPr>
        <w:t>dokončení všech souvisejících stavebních úprav a uvedení dotčených míst do původního nebo lepšího stavu,</w:t>
      </w:r>
    </w:p>
    <w:p w14:paraId="73E40C6C" w14:textId="29C9093C" w:rsidR="0086416E" w:rsidRDefault="002A6549" w:rsidP="00467E22">
      <w:pPr>
        <w:numPr>
          <w:ilvl w:val="0"/>
          <w:numId w:val="36"/>
        </w:numPr>
        <w:spacing w:after="0"/>
        <w:ind w:left="714" w:hanging="357"/>
        <w:rPr>
          <w:rFonts w:ascii="Calibri" w:eastAsia="Calibri" w:hAnsi="Calibri" w:cs="Calibri"/>
        </w:rPr>
      </w:pPr>
      <w:r w:rsidRPr="00C13217">
        <w:rPr>
          <w:rFonts w:asciiTheme="minorHAnsi" w:eastAsia="Calibri" w:hAnsiTheme="minorHAnsi" w:cstheme="minorHAnsi"/>
        </w:rPr>
        <w:t xml:space="preserve">bezprostředně před předáním díla </w:t>
      </w:r>
      <w:r w:rsidR="0086416E">
        <w:rPr>
          <w:rFonts w:ascii="Calibri" w:eastAsia="Calibri" w:hAnsi="Calibri" w:cs="Calibri"/>
        </w:rPr>
        <w:t xml:space="preserve">závěrečné </w:t>
      </w:r>
      <w:r w:rsidR="0086416E" w:rsidRPr="00B672E4">
        <w:rPr>
          <w:rFonts w:ascii="Calibri" w:eastAsia="Calibri" w:hAnsi="Calibri" w:cs="Calibri"/>
        </w:rPr>
        <w:t xml:space="preserve">školení </w:t>
      </w:r>
      <w:r w:rsidR="0086416E">
        <w:rPr>
          <w:rFonts w:ascii="Calibri" w:eastAsia="Calibri" w:hAnsi="Calibri" w:cs="Calibri"/>
        </w:rPr>
        <w:t>objednatele, resp. budoucích provozovatelů systému</w:t>
      </w:r>
    </w:p>
    <w:p w14:paraId="2EFF59A0" w14:textId="589592CF" w:rsidR="0086416E" w:rsidRPr="00142302" w:rsidRDefault="0086416E" w:rsidP="00467E22">
      <w:pPr>
        <w:numPr>
          <w:ilvl w:val="0"/>
          <w:numId w:val="36"/>
        </w:numPr>
        <w:spacing w:after="0"/>
        <w:ind w:left="714" w:hanging="357"/>
        <w:rPr>
          <w:rFonts w:ascii="Calibri" w:eastAsia="Calibri" w:hAnsi="Calibri" w:cs="Calibri"/>
        </w:rPr>
      </w:pPr>
      <w:r w:rsidRPr="00C13217">
        <w:rPr>
          <w:rFonts w:asciiTheme="minorHAnsi" w:eastAsia="Calibri" w:hAnsiTheme="minorHAnsi" w:cstheme="minorHAnsi"/>
        </w:rPr>
        <w:t xml:space="preserve">bezprostředně před předáním díla předání všech přístupových údajů, hesel, licencí a administrátorských práv k systému tak, aby objednatel měl plnou kontrolu nad celým řešením bez jakýchkoliv omezení (zamezení </w:t>
      </w:r>
      <w:proofErr w:type="spellStart"/>
      <w:r w:rsidRPr="00C13217">
        <w:rPr>
          <w:rFonts w:asciiTheme="minorHAnsi" w:eastAsia="Calibri" w:hAnsiTheme="minorHAnsi" w:cstheme="minorHAnsi"/>
        </w:rPr>
        <w:t>vendor</w:t>
      </w:r>
      <w:proofErr w:type="spellEnd"/>
      <w:r w:rsidRPr="00C13217">
        <w:rPr>
          <w:rFonts w:asciiTheme="minorHAnsi" w:eastAsia="Calibri" w:hAnsiTheme="minorHAnsi" w:cstheme="minorHAnsi"/>
        </w:rPr>
        <w:t xml:space="preserve"> </w:t>
      </w:r>
      <w:proofErr w:type="spellStart"/>
      <w:r w:rsidRPr="00C13217">
        <w:rPr>
          <w:rFonts w:asciiTheme="minorHAnsi" w:eastAsia="Calibri" w:hAnsiTheme="minorHAnsi" w:cstheme="minorHAnsi"/>
        </w:rPr>
        <w:t>lock</w:t>
      </w:r>
      <w:proofErr w:type="spellEnd"/>
      <w:r w:rsidRPr="00C13217">
        <w:rPr>
          <w:rFonts w:asciiTheme="minorHAnsi" w:eastAsia="Calibri" w:hAnsiTheme="minorHAnsi" w:cstheme="minorHAnsi"/>
        </w:rPr>
        <w:t>-in).</w:t>
      </w:r>
    </w:p>
    <w:p w14:paraId="7D2DF88C" w14:textId="04FA6E27" w:rsidR="00134E7A" w:rsidRDefault="00134E7A" w:rsidP="00467E22">
      <w:pPr>
        <w:numPr>
          <w:ilvl w:val="0"/>
          <w:numId w:val="36"/>
        </w:numPr>
        <w:spacing w:after="0"/>
        <w:ind w:left="714" w:hanging="357"/>
        <w:rPr>
          <w:rFonts w:ascii="Calibri" w:eastAsia="Calibri" w:hAnsi="Calibri" w:cs="Calibri"/>
        </w:rPr>
      </w:pPr>
      <w:r w:rsidRPr="00B672E4">
        <w:rPr>
          <w:rFonts w:ascii="Calibri" w:eastAsia="Calibri" w:hAnsi="Calibri" w:cs="Calibri"/>
        </w:rPr>
        <w:t>kolaudační souhlas a vešker</w:t>
      </w:r>
      <w:r>
        <w:rPr>
          <w:rFonts w:ascii="Calibri" w:eastAsia="Calibri" w:hAnsi="Calibri" w:cs="Calibri"/>
        </w:rPr>
        <w:t>é další</w:t>
      </w:r>
      <w:r w:rsidRPr="00B672E4">
        <w:rPr>
          <w:rFonts w:ascii="Calibri" w:eastAsia="Calibri" w:hAnsi="Calibri" w:cs="Calibri"/>
        </w:rPr>
        <w:t xml:space="preserve"> formální náležitost</w:t>
      </w:r>
      <w:r>
        <w:rPr>
          <w:rFonts w:ascii="Calibri" w:eastAsia="Calibri" w:hAnsi="Calibri" w:cs="Calibri"/>
        </w:rPr>
        <w:t>i</w:t>
      </w:r>
      <w:r w:rsidRPr="00B672E4">
        <w:rPr>
          <w:rFonts w:ascii="Calibri" w:eastAsia="Calibri" w:hAnsi="Calibri" w:cs="Calibri"/>
        </w:rPr>
        <w:t xml:space="preserve"> pro uvedení díla do trvalého provozu</w:t>
      </w:r>
      <w:r>
        <w:rPr>
          <w:rFonts w:ascii="Calibri" w:eastAsia="Calibri" w:hAnsi="Calibri" w:cs="Calibri"/>
        </w:rPr>
        <w:t xml:space="preserve"> </w:t>
      </w:r>
    </w:p>
    <w:p w14:paraId="0035F90D" w14:textId="5112321A" w:rsidR="00674E37" w:rsidRPr="00E66710" w:rsidRDefault="00674E37" w:rsidP="00674E37">
      <w:pPr>
        <w:spacing w:after="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Po dokončení výše uvedených činností vyzve zhotovitel objednatele k</w:t>
      </w:r>
      <w:r w:rsidR="002A6549">
        <w:rPr>
          <w:rFonts w:ascii="Calibri" w:eastAsia="Calibri" w:hAnsi="Calibri" w:cs="Calibri"/>
        </w:rPr>
        <w:t xml:space="preserve"> předání a převzetí díla, jehož součástí bude </w:t>
      </w:r>
      <w:r>
        <w:rPr>
          <w:rFonts w:ascii="Calibri" w:eastAsia="Calibri" w:hAnsi="Calibri" w:cs="Calibri"/>
        </w:rPr>
        <w:t>kontrol</w:t>
      </w:r>
      <w:r w:rsidR="002A6549"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</w:rPr>
        <w:t xml:space="preserve"> a otestování díla, a to nejméně 5 pracovních dnů předem. Předmětem kontroly a testování bude:</w:t>
      </w:r>
    </w:p>
    <w:p w14:paraId="652C7817" w14:textId="6023F008" w:rsidR="00467E22" w:rsidRPr="00467E22" w:rsidRDefault="00674E37" w:rsidP="00467E22">
      <w:pPr>
        <w:numPr>
          <w:ilvl w:val="0"/>
          <w:numId w:val="36"/>
        </w:numPr>
        <w:spacing w:after="0"/>
        <w:ind w:left="714" w:hanging="357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Soulad díla se smlouvou</w:t>
      </w:r>
    </w:p>
    <w:p w14:paraId="6F4D4409" w14:textId="52C7EE52" w:rsidR="00E66710" w:rsidRPr="00E66710" w:rsidRDefault="00C14120" w:rsidP="00467E22">
      <w:pPr>
        <w:numPr>
          <w:ilvl w:val="0"/>
          <w:numId w:val="36"/>
        </w:numPr>
        <w:spacing w:after="0"/>
        <w:ind w:left="714" w:hanging="357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základní o</w:t>
      </w:r>
      <w:r w:rsidR="00E66710" w:rsidRPr="00E66710">
        <w:rPr>
          <w:rFonts w:ascii="Calibri" w:eastAsia="Calibri" w:hAnsi="Calibri" w:cs="Calibri"/>
        </w:rPr>
        <w:t xml:space="preserve">testování funkcionality </w:t>
      </w:r>
      <w:r w:rsidR="00E66710" w:rsidRPr="00142302">
        <w:rPr>
          <w:rFonts w:ascii="Calibri" w:eastAsia="Calibri" w:hAnsi="Calibri" w:cs="Calibri"/>
          <w:b/>
          <w:u w:val="single"/>
        </w:rPr>
        <w:t>každého</w:t>
      </w:r>
      <w:r w:rsidR="00E66710" w:rsidRPr="00E66710">
        <w:rPr>
          <w:rFonts w:ascii="Calibri" w:eastAsia="Calibri" w:hAnsi="Calibri" w:cs="Calibri"/>
        </w:rPr>
        <w:t xml:space="preserve"> zastávkového označníku – správné zobrazování odjezdů, bezchybné fungování zobrazovacích jednotek, komunikace s řídicím softwarem, napájení a záložní systémy,</w:t>
      </w:r>
    </w:p>
    <w:p w14:paraId="0238078E" w14:textId="2D518BDB" w:rsidR="00E66710" w:rsidRPr="00E66710" w:rsidRDefault="00E66710" w:rsidP="00467E22">
      <w:pPr>
        <w:numPr>
          <w:ilvl w:val="0"/>
          <w:numId w:val="36"/>
        </w:numPr>
        <w:spacing w:after="0"/>
        <w:ind w:left="714" w:hanging="357"/>
        <w:rPr>
          <w:rFonts w:ascii="Calibri" w:eastAsia="Calibri" w:hAnsi="Calibri" w:cs="Calibri"/>
        </w:rPr>
      </w:pPr>
      <w:r w:rsidRPr="00E66710">
        <w:rPr>
          <w:rFonts w:ascii="Calibri" w:eastAsia="Calibri" w:hAnsi="Calibri" w:cs="Calibri"/>
        </w:rPr>
        <w:t>provedení zátěžových testů systému – simulace reálných provozních podmínek, ověření chování systému při výpadcích napájení,</w:t>
      </w:r>
    </w:p>
    <w:p w14:paraId="3A8696D9" w14:textId="16EEB61A" w:rsidR="00E66710" w:rsidRPr="00134E7A" w:rsidRDefault="00E66710" w:rsidP="00467E22">
      <w:pPr>
        <w:numPr>
          <w:ilvl w:val="0"/>
          <w:numId w:val="36"/>
        </w:numPr>
        <w:spacing w:after="0"/>
        <w:ind w:left="714" w:hanging="357"/>
        <w:rPr>
          <w:rFonts w:ascii="Calibri" w:eastAsia="Calibri" w:hAnsi="Calibri" w:cs="Calibri"/>
        </w:rPr>
      </w:pPr>
      <w:r w:rsidRPr="00E66710">
        <w:rPr>
          <w:rFonts w:ascii="Calibri" w:eastAsia="Calibri" w:hAnsi="Calibri" w:cs="Calibri"/>
        </w:rPr>
        <w:t xml:space="preserve">ověření správné funkce </w:t>
      </w:r>
      <w:r w:rsidRPr="00134E7A">
        <w:rPr>
          <w:rFonts w:ascii="Calibri" w:eastAsia="Calibri" w:hAnsi="Calibri" w:cs="Calibri"/>
        </w:rPr>
        <w:t xml:space="preserve">ochranných a bezpečnostních prvků – </w:t>
      </w:r>
      <w:proofErr w:type="spellStart"/>
      <w:r w:rsidRPr="00134E7A">
        <w:rPr>
          <w:rFonts w:ascii="Calibri" w:eastAsia="Calibri" w:hAnsi="Calibri" w:cs="Calibri"/>
        </w:rPr>
        <w:t>antivandal</w:t>
      </w:r>
      <w:proofErr w:type="spellEnd"/>
      <w:r w:rsidRPr="00134E7A">
        <w:rPr>
          <w:rFonts w:ascii="Calibri" w:eastAsia="Calibri" w:hAnsi="Calibri" w:cs="Calibri"/>
        </w:rPr>
        <w:t xml:space="preserve"> ochrana, odolnost proti povětrnostním vlivům, zálohování dat,</w:t>
      </w:r>
    </w:p>
    <w:p w14:paraId="6DFA5DF2" w14:textId="132D1290" w:rsidR="00E66710" w:rsidRPr="00134E7A" w:rsidRDefault="00E66710" w:rsidP="0086416E">
      <w:pPr>
        <w:numPr>
          <w:ilvl w:val="0"/>
          <w:numId w:val="36"/>
        </w:numPr>
        <w:spacing w:after="0"/>
        <w:ind w:left="714" w:hanging="357"/>
        <w:rPr>
          <w:rFonts w:ascii="Calibri" w:eastAsia="Calibri" w:hAnsi="Calibri" w:cs="Calibri"/>
        </w:rPr>
      </w:pPr>
      <w:r w:rsidRPr="00134E7A">
        <w:rPr>
          <w:rFonts w:ascii="Calibri" w:eastAsia="Calibri" w:hAnsi="Calibri" w:cs="Calibri"/>
        </w:rPr>
        <w:t>předání příslušné dokumentace</w:t>
      </w:r>
      <w:r w:rsidR="00467E22" w:rsidRPr="00134E7A">
        <w:rPr>
          <w:rFonts w:ascii="Calibri" w:eastAsia="Calibri" w:hAnsi="Calibri" w:cs="Calibri"/>
        </w:rPr>
        <w:t xml:space="preserve"> objednateli</w:t>
      </w:r>
      <w:r w:rsidR="007B4A11">
        <w:rPr>
          <w:rFonts w:ascii="Calibri" w:eastAsia="Calibri" w:hAnsi="Calibri" w:cs="Calibri"/>
        </w:rPr>
        <w:t>, zejména</w:t>
      </w:r>
      <w:r w:rsidR="00467E22" w:rsidRPr="00134E7A">
        <w:rPr>
          <w:rFonts w:ascii="Calibri" w:eastAsia="Calibri" w:hAnsi="Calibri" w:cs="Calibri"/>
        </w:rPr>
        <w:t>:</w:t>
      </w:r>
    </w:p>
    <w:p w14:paraId="51AECFC6" w14:textId="70D98617" w:rsidR="00C14120" w:rsidRPr="00134E7A" w:rsidRDefault="00B672E4" w:rsidP="00CC06E0">
      <w:pPr>
        <w:pStyle w:val="Nadpis3"/>
        <w:keepNext w:val="0"/>
        <w:keepLines w:val="0"/>
        <w:numPr>
          <w:ilvl w:val="0"/>
          <w:numId w:val="43"/>
        </w:numPr>
        <w:spacing w:before="0"/>
        <w:ind w:left="993" w:hanging="284"/>
        <w:rPr>
          <w:rFonts w:ascii="Calibri" w:eastAsia="Calibri" w:hAnsi="Calibri" w:cs="Calibri"/>
          <w:color w:val="auto"/>
          <w:sz w:val="22"/>
          <w:szCs w:val="22"/>
        </w:rPr>
      </w:pPr>
      <w:bookmarkStart w:id="3" w:name="_heading=h.m8qm0kfzxmxg"/>
      <w:bookmarkStart w:id="4" w:name="_heading=h.9x5zi2n1qatg"/>
      <w:bookmarkEnd w:id="3"/>
      <w:bookmarkEnd w:id="4"/>
      <w:r w:rsidRPr="00134E7A">
        <w:rPr>
          <w:rFonts w:ascii="Calibri" w:eastAsia="Calibri" w:hAnsi="Calibri" w:cs="Calibri"/>
          <w:color w:val="auto"/>
          <w:sz w:val="22"/>
          <w:szCs w:val="22"/>
        </w:rPr>
        <w:t>dokumentac</w:t>
      </w:r>
      <w:r w:rsidR="00134E7A" w:rsidRPr="00134E7A">
        <w:rPr>
          <w:rFonts w:ascii="Calibri" w:eastAsia="Calibri" w:hAnsi="Calibri" w:cs="Calibri"/>
          <w:color w:val="auto"/>
          <w:sz w:val="22"/>
          <w:szCs w:val="22"/>
        </w:rPr>
        <w:t>e</w:t>
      </w:r>
      <w:r w:rsidRPr="00134E7A">
        <w:rPr>
          <w:rFonts w:ascii="Calibri" w:eastAsia="Calibri" w:hAnsi="Calibri" w:cs="Calibri"/>
          <w:color w:val="auto"/>
          <w:sz w:val="22"/>
          <w:szCs w:val="22"/>
        </w:rPr>
        <w:t xml:space="preserve"> skutečného provedení díla, která bude obsahovat výkresovou část, technické zprávy, schémata zapojení, údaje o použitých materiálech, případné změny oproti projektové dokumentaci a další relevantní dokumenty</w:t>
      </w:r>
    </w:p>
    <w:p w14:paraId="3618B4F7" w14:textId="77777777" w:rsidR="0093406F" w:rsidRPr="00B672E4" w:rsidRDefault="00E66710" w:rsidP="00CC06E0">
      <w:pPr>
        <w:pStyle w:val="Nadpis3"/>
        <w:keepNext w:val="0"/>
        <w:keepLines w:val="0"/>
        <w:numPr>
          <w:ilvl w:val="0"/>
          <w:numId w:val="43"/>
        </w:numPr>
        <w:spacing w:before="0"/>
        <w:ind w:left="993" w:hanging="284"/>
        <w:rPr>
          <w:rFonts w:ascii="Calibri" w:eastAsia="Calibri" w:hAnsi="Calibri" w:cs="Calibri"/>
          <w:sz w:val="22"/>
          <w:szCs w:val="22"/>
        </w:rPr>
      </w:pPr>
      <w:r w:rsidRPr="00B672E4">
        <w:rPr>
          <w:rFonts w:ascii="Calibri" w:eastAsia="Calibri" w:hAnsi="Calibri" w:cs="Calibri"/>
          <w:color w:val="auto"/>
          <w:sz w:val="22"/>
          <w:szCs w:val="22"/>
        </w:rPr>
        <w:t>revizní zprávy elektroinstalací, bateriových systémů a datových propojení,</w:t>
      </w:r>
    </w:p>
    <w:p w14:paraId="6AB20326" w14:textId="63FA23DA" w:rsidR="00E66710" w:rsidRPr="00B672E4" w:rsidRDefault="00E66710" w:rsidP="00CC06E0">
      <w:pPr>
        <w:pStyle w:val="Nadpis3"/>
        <w:keepNext w:val="0"/>
        <w:keepLines w:val="0"/>
        <w:numPr>
          <w:ilvl w:val="0"/>
          <w:numId w:val="43"/>
        </w:numPr>
        <w:spacing w:before="0"/>
        <w:ind w:left="993" w:hanging="284"/>
        <w:rPr>
          <w:rFonts w:ascii="Calibri" w:eastAsia="Calibri" w:hAnsi="Calibri" w:cs="Calibri"/>
          <w:color w:val="auto"/>
          <w:sz w:val="22"/>
          <w:szCs w:val="22"/>
        </w:rPr>
      </w:pPr>
      <w:r w:rsidRPr="00B672E4">
        <w:rPr>
          <w:rFonts w:ascii="Calibri" w:eastAsia="Calibri" w:hAnsi="Calibri" w:cs="Calibri"/>
          <w:color w:val="auto"/>
          <w:sz w:val="22"/>
          <w:szCs w:val="22"/>
        </w:rPr>
        <w:t>protokoly o funkčních zkouškách a výsledky testování provozu jednotlivých komponent i celého systému,</w:t>
      </w:r>
    </w:p>
    <w:p w14:paraId="2619C515" w14:textId="78EE8CBB" w:rsidR="00E66710" w:rsidRPr="00B672E4" w:rsidRDefault="00E66710" w:rsidP="00CC06E0">
      <w:pPr>
        <w:pStyle w:val="Nadpis3"/>
        <w:keepNext w:val="0"/>
        <w:keepLines w:val="0"/>
        <w:numPr>
          <w:ilvl w:val="0"/>
          <w:numId w:val="43"/>
        </w:numPr>
        <w:spacing w:before="0"/>
        <w:ind w:left="993" w:hanging="284"/>
        <w:rPr>
          <w:rFonts w:ascii="Calibri" w:eastAsia="Calibri" w:hAnsi="Calibri" w:cs="Calibri"/>
          <w:color w:val="auto"/>
          <w:sz w:val="22"/>
          <w:szCs w:val="22"/>
        </w:rPr>
      </w:pPr>
      <w:r w:rsidRPr="00B672E4">
        <w:rPr>
          <w:rFonts w:ascii="Calibri" w:eastAsia="Calibri" w:hAnsi="Calibri" w:cs="Calibri"/>
          <w:color w:val="auto"/>
          <w:sz w:val="22"/>
          <w:szCs w:val="22"/>
        </w:rPr>
        <w:t>kolaudační souhlas a vešker</w:t>
      </w:r>
      <w:r w:rsidR="00B409A1">
        <w:rPr>
          <w:rFonts w:ascii="Calibri" w:eastAsia="Calibri" w:hAnsi="Calibri" w:cs="Calibri"/>
          <w:color w:val="auto"/>
          <w:sz w:val="22"/>
          <w:szCs w:val="22"/>
        </w:rPr>
        <w:t>é další</w:t>
      </w:r>
      <w:r w:rsidRPr="00B672E4">
        <w:rPr>
          <w:rFonts w:ascii="Calibri" w:eastAsia="Calibri" w:hAnsi="Calibri" w:cs="Calibri"/>
          <w:color w:val="auto"/>
          <w:sz w:val="22"/>
          <w:szCs w:val="22"/>
        </w:rPr>
        <w:t xml:space="preserve"> formální náležitost</w:t>
      </w:r>
      <w:r w:rsidR="00B409A1">
        <w:rPr>
          <w:rFonts w:ascii="Calibri" w:eastAsia="Calibri" w:hAnsi="Calibri" w:cs="Calibri"/>
          <w:color w:val="auto"/>
          <w:sz w:val="22"/>
          <w:szCs w:val="22"/>
        </w:rPr>
        <w:t>i</w:t>
      </w:r>
      <w:r w:rsidRPr="00B672E4">
        <w:rPr>
          <w:rFonts w:ascii="Calibri" w:eastAsia="Calibri" w:hAnsi="Calibri" w:cs="Calibri"/>
          <w:color w:val="auto"/>
          <w:sz w:val="22"/>
          <w:szCs w:val="22"/>
        </w:rPr>
        <w:t xml:space="preserve"> pro uvedení díla do trvalého provozu,</w:t>
      </w:r>
    </w:p>
    <w:p w14:paraId="79BC8428" w14:textId="6D210D16" w:rsidR="00C13217" w:rsidRPr="007B4A11" w:rsidRDefault="00C13217" w:rsidP="00134E7A">
      <w:pPr>
        <w:pStyle w:val="Nadpis3"/>
        <w:keepNext w:val="0"/>
        <w:keepLines w:val="0"/>
        <w:numPr>
          <w:ilvl w:val="0"/>
          <w:numId w:val="43"/>
        </w:numPr>
        <w:spacing w:before="0"/>
        <w:ind w:left="993" w:hanging="284"/>
        <w:rPr>
          <w:rFonts w:asciiTheme="minorHAnsi" w:hAnsiTheme="minorHAnsi" w:cstheme="minorHAnsi"/>
          <w:sz w:val="22"/>
          <w:szCs w:val="22"/>
        </w:rPr>
      </w:pPr>
      <w:r w:rsidRPr="007B4A11">
        <w:rPr>
          <w:rFonts w:asciiTheme="minorHAnsi" w:hAnsiTheme="minorHAnsi" w:cstheme="minorHAnsi"/>
          <w:sz w:val="22"/>
          <w:szCs w:val="22"/>
        </w:rPr>
        <w:t>popis způsobu naložení s odpadem dle čl. VI odst. 9 smlouvy</w:t>
      </w:r>
    </w:p>
    <w:p w14:paraId="6713359F" w14:textId="77777777" w:rsidR="00CC06E0" w:rsidRPr="00CC06E0" w:rsidRDefault="00CC06E0" w:rsidP="00CC06E0"/>
    <w:p w14:paraId="32178092" w14:textId="77777777" w:rsidR="00E66710" w:rsidRPr="00C13217" w:rsidRDefault="00E66710" w:rsidP="00E66710">
      <w:pPr>
        <w:pStyle w:val="Nadpis3"/>
        <w:keepNext w:val="0"/>
        <w:keepLines w:val="0"/>
        <w:rPr>
          <w:rFonts w:asciiTheme="minorHAnsi" w:eastAsia="Calibri" w:hAnsiTheme="minorHAnsi" w:cstheme="minorHAnsi"/>
          <w:color w:val="auto"/>
          <w:sz w:val="22"/>
          <w:szCs w:val="22"/>
        </w:rPr>
      </w:pPr>
      <w:bookmarkStart w:id="5" w:name="_heading=h.4099lodtheg4"/>
      <w:bookmarkStart w:id="6" w:name="_heading=h.4xn8paugx521"/>
      <w:bookmarkEnd w:id="5"/>
      <w:bookmarkEnd w:id="6"/>
      <w:r w:rsidRPr="00C13217">
        <w:rPr>
          <w:rFonts w:asciiTheme="minorHAnsi" w:eastAsia="Calibri" w:hAnsiTheme="minorHAnsi" w:cstheme="minorHAnsi"/>
          <w:b/>
          <w:color w:val="auto"/>
          <w:sz w:val="22"/>
          <w:szCs w:val="22"/>
        </w:rPr>
        <w:t>Způsob předání milníku:</w:t>
      </w:r>
    </w:p>
    <w:p w14:paraId="2632FC11" w14:textId="27FFE521" w:rsidR="00B409A1" w:rsidRPr="00247883" w:rsidRDefault="001F78C7" w:rsidP="00247883">
      <w:pPr>
        <w:spacing w:after="0"/>
        <w:jc w:val="both"/>
        <w:rPr>
          <w:rFonts w:ascii="Calibri" w:eastAsia="Calibri" w:hAnsi="Calibri" w:cs="Calibri"/>
        </w:rPr>
      </w:pPr>
      <w:r w:rsidRPr="00247883">
        <w:rPr>
          <w:rFonts w:ascii="Calibri" w:eastAsia="Calibri" w:hAnsi="Calibri" w:cs="Calibri"/>
        </w:rPr>
        <w:t xml:space="preserve">Po </w:t>
      </w:r>
      <w:r w:rsidR="00B04A41">
        <w:rPr>
          <w:rFonts w:ascii="Calibri" w:eastAsia="Calibri" w:hAnsi="Calibri" w:cs="Calibri"/>
        </w:rPr>
        <w:t>dokončení díla a provedení kontroly a otestování díla</w:t>
      </w:r>
      <w:r w:rsidRPr="00247883">
        <w:rPr>
          <w:rFonts w:ascii="Calibri" w:eastAsia="Calibri" w:hAnsi="Calibri" w:cs="Calibri"/>
        </w:rPr>
        <w:t xml:space="preserve"> </w:t>
      </w:r>
      <w:r w:rsidR="00247883" w:rsidRPr="00247883">
        <w:rPr>
          <w:rFonts w:ascii="Calibri" w:eastAsia="Calibri" w:hAnsi="Calibri" w:cs="Calibri"/>
        </w:rPr>
        <w:t xml:space="preserve">předá zhotovitel dílo objednateli včetně všech dokumentů uvedených výše a objednatel je povinen dílo převzít, nebude-li vykazovat vady. </w:t>
      </w:r>
      <w:r w:rsidR="00B409A1" w:rsidRPr="00247883">
        <w:rPr>
          <w:rFonts w:ascii="Calibri" w:eastAsia="Calibri" w:hAnsi="Calibri" w:cs="Calibri"/>
        </w:rPr>
        <w:t xml:space="preserve">O </w:t>
      </w:r>
      <w:r w:rsidR="00247883" w:rsidRPr="00247883">
        <w:rPr>
          <w:rFonts w:ascii="Calibri" w:eastAsia="Calibri" w:hAnsi="Calibri" w:cs="Calibri"/>
        </w:rPr>
        <w:t>předání a převzetí</w:t>
      </w:r>
      <w:r w:rsidR="00B409A1" w:rsidRPr="00247883">
        <w:rPr>
          <w:rFonts w:ascii="Calibri" w:eastAsia="Calibri" w:hAnsi="Calibri" w:cs="Calibri"/>
        </w:rPr>
        <w:t xml:space="preserve"> díla bude sepsán </w:t>
      </w:r>
      <w:r w:rsidR="00247883" w:rsidRPr="00247883">
        <w:rPr>
          <w:rFonts w:ascii="Calibri" w:eastAsia="Calibri" w:hAnsi="Calibri" w:cs="Calibri"/>
        </w:rPr>
        <w:t>Závěrečný předávací p</w:t>
      </w:r>
      <w:r w:rsidR="00B409A1" w:rsidRPr="00247883">
        <w:rPr>
          <w:rFonts w:ascii="Calibri" w:eastAsia="Calibri" w:hAnsi="Calibri" w:cs="Calibri"/>
        </w:rPr>
        <w:t xml:space="preserve">rotokol podepsaný oběma smluvními stranami, v němž objednatel výslovně uvede, zda dílo </w:t>
      </w:r>
      <w:r w:rsidR="00247883" w:rsidRPr="00247883">
        <w:rPr>
          <w:rFonts w:ascii="Calibri" w:eastAsia="Calibri" w:hAnsi="Calibri" w:cs="Calibri"/>
        </w:rPr>
        <w:t>přebírá</w:t>
      </w:r>
      <w:r w:rsidR="00B409A1" w:rsidRPr="00247883">
        <w:rPr>
          <w:rFonts w:ascii="Calibri" w:eastAsia="Calibri" w:hAnsi="Calibri" w:cs="Calibri"/>
        </w:rPr>
        <w:t xml:space="preserve"> či nikoliv. Objednatel je oprávněn, nikoliv však povinen, dílo </w:t>
      </w:r>
      <w:r w:rsidR="00247883" w:rsidRPr="00247883">
        <w:rPr>
          <w:rFonts w:ascii="Calibri" w:eastAsia="Calibri" w:hAnsi="Calibri" w:cs="Calibri"/>
        </w:rPr>
        <w:t>převzít</w:t>
      </w:r>
      <w:r w:rsidR="00B409A1" w:rsidRPr="00247883">
        <w:rPr>
          <w:rFonts w:ascii="Calibri" w:eastAsia="Calibri" w:hAnsi="Calibri" w:cs="Calibri"/>
        </w:rPr>
        <w:t xml:space="preserve"> i s ojedinělými drobnými vadami a nedodělky, které samy o sobě ani ve spojení s jinými nebrání užívání díla funkčně nebo esteticky, ani jeho užívání podstatným způsobem neomezují. Pokud objednatel dílo </w:t>
      </w:r>
      <w:r w:rsidR="00247883" w:rsidRPr="00247883">
        <w:rPr>
          <w:rFonts w:ascii="Calibri" w:eastAsia="Calibri" w:hAnsi="Calibri" w:cs="Calibri"/>
        </w:rPr>
        <w:t>převezme</w:t>
      </w:r>
      <w:r w:rsidR="00B409A1" w:rsidRPr="00247883">
        <w:rPr>
          <w:rFonts w:ascii="Calibri" w:eastAsia="Calibri" w:hAnsi="Calibri" w:cs="Calibri"/>
        </w:rPr>
        <w:t xml:space="preserve"> s drobnými vadami či nedodělky, musí být tyto v předávacím protokolu uvedeny a musí být stanovena lhůta k jejich odstranění. Nedohodnou-li se strany na lhůtách pro odstranění vad, je zhotovitel povinen vady odstranit do 15 dnů ode dne </w:t>
      </w:r>
      <w:r w:rsidR="00247883" w:rsidRPr="00247883">
        <w:rPr>
          <w:rFonts w:ascii="Calibri" w:eastAsia="Calibri" w:hAnsi="Calibri" w:cs="Calibri"/>
        </w:rPr>
        <w:t>předání díla</w:t>
      </w:r>
      <w:r w:rsidR="00B409A1" w:rsidRPr="00247883">
        <w:rPr>
          <w:rFonts w:ascii="Calibri" w:eastAsia="Calibri" w:hAnsi="Calibri" w:cs="Calibri"/>
        </w:rPr>
        <w:t>.</w:t>
      </w:r>
    </w:p>
    <w:p w14:paraId="0CFCDE2A" w14:textId="6532CFA6" w:rsidR="00B409A1" w:rsidRPr="00247883" w:rsidRDefault="00B409A1" w:rsidP="00247883">
      <w:pPr>
        <w:spacing w:after="0"/>
        <w:jc w:val="both"/>
        <w:rPr>
          <w:rFonts w:ascii="Calibri" w:hAnsi="Calibri"/>
        </w:rPr>
      </w:pPr>
      <w:r w:rsidRPr="00247883">
        <w:rPr>
          <w:rFonts w:ascii="Calibri" w:hAnsi="Calibri"/>
        </w:rPr>
        <w:t xml:space="preserve">Dílo se považuje za </w:t>
      </w:r>
      <w:r w:rsidR="00247883" w:rsidRPr="00247883">
        <w:rPr>
          <w:rFonts w:ascii="Calibri" w:hAnsi="Calibri"/>
        </w:rPr>
        <w:t>předané</w:t>
      </w:r>
      <w:r w:rsidRPr="00247883">
        <w:rPr>
          <w:rFonts w:ascii="Calibri" w:hAnsi="Calibri"/>
        </w:rPr>
        <w:t xml:space="preserve"> okamžikem, kdy je </w:t>
      </w:r>
      <w:r w:rsidR="00247883" w:rsidRPr="00247883">
        <w:rPr>
          <w:rFonts w:ascii="Calibri" w:hAnsi="Calibri"/>
        </w:rPr>
        <w:t>převzetí</w:t>
      </w:r>
      <w:r w:rsidRPr="00247883">
        <w:rPr>
          <w:rFonts w:ascii="Calibri" w:hAnsi="Calibri"/>
        </w:rPr>
        <w:t xml:space="preserve"> potvrzen</w:t>
      </w:r>
      <w:r w:rsidR="00247883" w:rsidRPr="00247883">
        <w:rPr>
          <w:rFonts w:ascii="Calibri" w:hAnsi="Calibri"/>
        </w:rPr>
        <w:t xml:space="preserve">o </w:t>
      </w:r>
      <w:r w:rsidRPr="00247883">
        <w:rPr>
          <w:rFonts w:ascii="Calibri" w:hAnsi="Calibri"/>
        </w:rPr>
        <w:t xml:space="preserve">oběma smluvními stranami podpisem </w:t>
      </w:r>
      <w:r w:rsidR="00247883" w:rsidRPr="00247883">
        <w:rPr>
          <w:rFonts w:ascii="Calibri" w:hAnsi="Calibri"/>
        </w:rPr>
        <w:t>Závěrečného předávacího protokolu</w:t>
      </w:r>
      <w:r w:rsidRPr="00247883">
        <w:rPr>
          <w:rFonts w:ascii="Calibri" w:hAnsi="Calibri"/>
        </w:rPr>
        <w:t>.</w:t>
      </w:r>
      <w:r w:rsidR="00B04A41" w:rsidRPr="00B04A41">
        <w:rPr>
          <w:rFonts w:ascii="Calibri" w:eastAsia="Calibri" w:hAnsi="Calibri" w:cs="Calibri"/>
        </w:rPr>
        <w:t xml:space="preserve"> </w:t>
      </w:r>
      <w:r w:rsidR="00B04A41">
        <w:rPr>
          <w:rFonts w:ascii="Calibri" w:eastAsia="Calibri" w:hAnsi="Calibri" w:cs="Calibri"/>
        </w:rPr>
        <w:t>Tento protokol nemusí být na samostatné listině, pokud je součástí stavebního deníku.</w:t>
      </w:r>
    </w:p>
    <w:p w14:paraId="02083E97" w14:textId="5A81732A" w:rsidR="00E66710" w:rsidRPr="00E66710" w:rsidRDefault="00B409A1" w:rsidP="00247883">
      <w:pPr>
        <w:jc w:val="both"/>
      </w:pPr>
      <w:r w:rsidRPr="00247883">
        <w:rPr>
          <w:rFonts w:ascii="Calibri" w:eastAsia="Calibri" w:hAnsi="Calibri" w:cs="Calibri"/>
        </w:rPr>
        <w:t xml:space="preserve">Dokladem o dosažení milníku pro účely fakturace je </w:t>
      </w:r>
      <w:r w:rsidR="00247883" w:rsidRPr="00247883">
        <w:rPr>
          <w:rFonts w:ascii="Calibri" w:eastAsia="Calibri" w:hAnsi="Calibri" w:cs="Calibri"/>
        </w:rPr>
        <w:t>Závěrečný předávací protokol.</w:t>
      </w:r>
    </w:p>
    <w:sectPr w:rsidR="00E66710" w:rsidRPr="00E66710" w:rsidSect="00A206C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1274" w:bottom="1135" w:left="993" w:header="709" w:footer="35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EF64F4F" w14:textId="77777777" w:rsidR="00F91B31" w:rsidRDefault="00F91B31" w:rsidP="00903221">
      <w:pPr>
        <w:spacing w:after="0" w:line="240" w:lineRule="auto"/>
      </w:pPr>
      <w:r>
        <w:separator/>
      </w:r>
    </w:p>
  </w:endnote>
  <w:endnote w:type="continuationSeparator" w:id="0">
    <w:p w14:paraId="1BA4B52F" w14:textId="77777777" w:rsidR="00F91B31" w:rsidRDefault="00F91B31" w:rsidP="00903221">
      <w:pPr>
        <w:spacing w:after="0" w:line="240" w:lineRule="auto"/>
      </w:pPr>
      <w:r>
        <w:continuationSeparator/>
      </w:r>
    </w:p>
  </w:endnote>
  <w:endnote w:type="continuationNotice" w:id="1">
    <w:p w14:paraId="3BE78E31" w14:textId="77777777" w:rsidR="00F91B31" w:rsidRDefault="00F91B31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Noto Sans Symbols">
    <w:altName w:val="Calibri"/>
    <w:charset w:val="00"/>
    <w:family w:val="auto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HGGothicM">
    <w:charset w:val="80"/>
    <w:family w:val="modern"/>
    <w:pitch w:val="fixed"/>
    <w:sig w:usb0="80000281" w:usb1="28C76CF8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oppins">
    <w:altName w:val="Times New Roman"/>
    <w:charset w:val="EE"/>
    <w:family w:val="auto"/>
    <w:pitch w:val="variable"/>
    <w:sig w:usb0="00008007" w:usb1="00000000" w:usb2="00000000" w:usb3="00000000" w:csb0="00000093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8745C98" w14:textId="77777777" w:rsidR="00C47F9A" w:rsidRDefault="00C47F9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017589746"/>
      <w:docPartObj>
        <w:docPartGallery w:val="Page Numbers (Bottom of Page)"/>
        <w:docPartUnique/>
      </w:docPartObj>
    </w:sdtPr>
    <w:sdtEndPr/>
    <w:sdtContent>
      <w:p w14:paraId="405A40CC" w14:textId="77777777" w:rsidR="00C47F9A" w:rsidRDefault="00C47F9A">
        <w:pPr>
          <w:pStyle w:val="Zpat"/>
          <w:jc w:val="center"/>
        </w:pPr>
      </w:p>
      <w:p w14:paraId="0D38A147" w14:textId="569F8265" w:rsidR="00C47F9A" w:rsidRDefault="00C47F9A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8377689" w14:textId="13CF27DA" w:rsidR="00C47F9A" w:rsidRDefault="00C47F9A" w:rsidP="007A324C">
    <w:pPr>
      <w:pStyle w:val="Zpat"/>
      <w:tabs>
        <w:tab w:val="clear" w:pos="4536"/>
        <w:tab w:val="clear" w:pos="9072"/>
      </w:tabs>
      <w:ind w:left="567"/>
      <w:rPr>
        <w:rFonts w:ascii="Calibri" w:hAnsi="Calibri"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FB7E598" w14:textId="77777777" w:rsidR="00C47F9A" w:rsidRDefault="00C47F9A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C708C05" w14:textId="77777777" w:rsidR="00F91B31" w:rsidRDefault="00F91B31" w:rsidP="00903221">
      <w:pPr>
        <w:spacing w:after="0" w:line="240" w:lineRule="auto"/>
      </w:pPr>
      <w:r>
        <w:separator/>
      </w:r>
    </w:p>
  </w:footnote>
  <w:footnote w:type="continuationSeparator" w:id="0">
    <w:p w14:paraId="16CAFA12" w14:textId="77777777" w:rsidR="00F91B31" w:rsidRDefault="00F91B31" w:rsidP="00903221">
      <w:pPr>
        <w:spacing w:after="0" w:line="240" w:lineRule="auto"/>
      </w:pPr>
      <w:r>
        <w:continuationSeparator/>
      </w:r>
    </w:p>
  </w:footnote>
  <w:footnote w:type="continuationNotice" w:id="1">
    <w:p w14:paraId="02E9F2E4" w14:textId="77777777" w:rsidR="00F91B31" w:rsidRDefault="00F91B31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85FD4EA" w14:textId="77777777" w:rsidR="00C47F9A" w:rsidRDefault="00C47F9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F5B87B2" w14:textId="77777777" w:rsidR="00C47F9A" w:rsidRPr="008147F4" w:rsidRDefault="00C47F9A" w:rsidP="00F65AFC">
    <w:pPr>
      <w:pStyle w:val="Zhlav"/>
      <w:tabs>
        <w:tab w:val="clear" w:pos="9072"/>
        <w:tab w:val="right" w:pos="9044"/>
      </w:tabs>
      <w:jc w:val="right"/>
      <w:rPr>
        <w:rFonts w:ascii="Calibri" w:hAnsi="Calibri" w:cs="Calibri"/>
        <w:b/>
      </w:rPr>
    </w:pPr>
    <w:r w:rsidRPr="008147F4">
      <w:rPr>
        <w:rFonts w:ascii="Calibri" w:hAnsi="Calibri" w:cs="Calibri"/>
        <w:b/>
      </w:rPr>
      <w:t>Příloha č. 1 Smlouvy o dílo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A6D6A6" w14:textId="77777777" w:rsidR="00C47F9A" w:rsidRDefault="00C47F9A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A74532"/>
    <w:multiLevelType w:val="hybridMultilevel"/>
    <w:tmpl w:val="B126B472"/>
    <w:lvl w:ilvl="0" w:tplc="7AF2FE98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22144B"/>
    <w:multiLevelType w:val="hybridMultilevel"/>
    <w:tmpl w:val="7AC2C2E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D53EB5"/>
    <w:multiLevelType w:val="hybridMultilevel"/>
    <w:tmpl w:val="3F9CBD96"/>
    <w:lvl w:ilvl="0" w:tplc="F3883B56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F3883B56">
      <w:start w:val="1"/>
      <w:numFmt w:val="bullet"/>
      <w:lvlText w:val="-"/>
      <w:lvlJc w:val="left"/>
      <w:pPr>
        <w:ind w:left="1785" w:hanging="705"/>
      </w:pPr>
      <w:rPr>
        <w:rFonts w:ascii="Arial" w:eastAsia="Times New Roman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6A0839"/>
    <w:multiLevelType w:val="hybridMultilevel"/>
    <w:tmpl w:val="ABA468A4"/>
    <w:lvl w:ilvl="0" w:tplc="F3883B56">
      <w:start w:val="1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CCA59D9"/>
    <w:multiLevelType w:val="hybridMultilevel"/>
    <w:tmpl w:val="2438CF4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621759"/>
    <w:multiLevelType w:val="hybridMultilevel"/>
    <w:tmpl w:val="FA287C62"/>
    <w:lvl w:ilvl="0" w:tplc="0405001B">
      <w:start w:val="1"/>
      <w:numFmt w:val="lowerRoman"/>
      <w:lvlText w:val="%1."/>
      <w:lvlJc w:val="right"/>
      <w:pPr>
        <w:ind w:left="1146" w:hanging="360"/>
      </w:pPr>
    </w:lvl>
    <w:lvl w:ilvl="1" w:tplc="04050017">
      <w:start w:val="1"/>
      <w:numFmt w:val="lowerLetter"/>
      <w:lvlText w:val="%2)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 w15:restartNumberingAfterBreak="0">
    <w:nsid w:val="0D750485"/>
    <w:multiLevelType w:val="hybridMultilevel"/>
    <w:tmpl w:val="3064D23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F3B7515"/>
    <w:multiLevelType w:val="hybridMultilevel"/>
    <w:tmpl w:val="40EAB62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127350D"/>
    <w:multiLevelType w:val="multilevel"/>
    <w:tmpl w:val="093A3C18"/>
    <w:lvl w:ilvl="0">
      <w:start w:val="1"/>
      <w:numFmt w:val="decimal"/>
      <w:lvlText w:val=""/>
      <w:lvlJc w:val="left"/>
      <w:pPr>
        <w:ind w:left="0" w:firstLine="0"/>
      </w:pPr>
    </w:lvl>
    <w:lvl w:ilvl="1">
      <w:start w:val="1"/>
      <w:numFmt w:val="decimal"/>
      <w:lvlText w:val=""/>
      <w:lvlJc w:val="left"/>
      <w:pPr>
        <w:ind w:left="0" w:firstLine="0"/>
      </w:pPr>
    </w:lvl>
    <w:lvl w:ilvl="2">
      <w:start w:val="1"/>
      <w:numFmt w:val="decimal"/>
      <w:lvlText w:val=""/>
      <w:lvlJc w:val="left"/>
      <w:pPr>
        <w:ind w:left="0" w:firstLine="0"/>
      </w:pPr>
    </w:lvl>
    <w:lvl w:ilvl="3">
      <w:start w:val="1"/>
      <w:numFmt w:val="decimal"/>
      <w:lvlText w:val=""/>
      <w:lvlJc w:val="left"/>
      <w:pPr>
        <w:ind w:left="0" w:firstLine="0"/>
      </w:pPr>
    </w:lvl>
    <w:lvl w:ilvl="4">
      <w:start w:val="1"/>
      <w:numFmt w:val="decimal"/>
      <w:lvlText w:val=""/>
      <w:lvlJc w:val="left"/>
      <w:pPr>
        <w:ind w:left="0" w:firstLine="0"/>
      </w:pPr>
    </w:lvl>
    <w:lvl w:ilvl="5">
      <w:start w:val="1"/>
      <w:numFmt w:val="decimal"/>
      <w:lvlText w:val=""/>
      <w:lvlJc w:val="left"/>
      <w:pPr>
        <w:ind w:left="0" w:firstLine="0"/>
      </w:pPr>
    </w:lvl>
    <w:lvl w:ilvl="6">
      <w:start w:val="1"/>
      <w:numFmt w:val="decimal"/>
      <w:lvlText w:val=""/>
      <w:lvlJc w:val="left"/>
      <w:pPr>
        <w:ind w:left="0" w:firstLine="0"/>
      </w:pPr>
    </w:lvl>
    <w:lvl w:ilvl="7">
      <w:start w:val="1"/>
      <w:numFmt w:val="decimal"/>
      <w:lvlText w:val=""/>
      <w:lvlJc w:val="left"/>
      <w:pPr>
        <w:ind w:left="0" w:firstLine="0"/>
      </w:pPr>
    </w:lvl>
    <w:lvl w:ilvl="8">
      <w:start w:val="1"/>
      <w:numFmt w:val="decimal"/>
      <w:lvlText w:val=""/>
      <w:lvlJc w:val="left"/>
      <w:pPr>
        <w:ind w:left="0" w:firstLine="0"/>
      </w:pPr>
    </w:lvl>
  </w:abstractNum>
  <w:abstractNum w:abstractNumId="9" w15:restartNumberingAfterBreak="0">
    <w:nsid w:val="11AB7C06"/>
    <w:multiLevelType w:val="hybridMultilevel"/>
    <w:tmpl w:val="895646B6"/>
    <w:lvl w:ilvl="0" w:tplc="F9C4986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  <w:sz w:val="2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493717C"/>
    <w:multiLevelType w:val="hybridMultilevel"/>
    <w:tmpl w:val="F89AC66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17346D1B"/>
    <w:multiLevelType w:val="hybridMultilevel"/>
    <w:tmpl w:val="865CF5E6"/>
    <w:lvl w:ilvl="0" w:tplc="1DBABAF2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83C7263"/>
    <w:multiLevelType w:val="hybridMultilevel"/>
    <w:tmpl w:val="FA287C62"/>
    <w:lvl w:ilvl="0" w:tplc="0405001B">
      <w:start w:val="1"/>
      <w:numFmt w:val="lowerRoman"/>
      <w:lvlText w:val="%1."/>
      <w:lvlJc w:val="right"/>
      <w:pPr>
        <w:ind w:left="1146" w:hanging="360"/>
      </w:pPr>
    </w:lvl>
    <w:lvl w:ilvl="1" w:tplc="04050017">
      <w:start w:val="1"/>
      <w:numFmt w:val="lowerLetter"/>
      <w:lvlText w:val="%2)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3" w15:restartNumberingAfterBreak="0">
    <w:nsid w:val="1C982879"/>
    <w:multiLevelType w:val="hybridMultilevel"/>
    <w:tmpl w:val="D282653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12841BC"/>
    <w:multiLevelType w:val="multilevel"/>
    <w:tmpl w:val="F8A46EC2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15" w15:restartNumberingAfterBreak="0">
    <w:nsid w:val="22292E68"/>
    <w:multiLevelType w:val="hybridMultilevel"/>
    <w:tmpl w:val="3130768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597453E"/>
    <w:multiLevelType w:val="hybridMultilevel"/>
    <w:tmpl w:val="18A01F1A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17">
      <w:start w:val="1"/>
      <w:numFmt w:val="lowerLetter"/>
      <w:lvlText w:val="%2)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7" w15:restartNumberingAfterBreak="0">
    <w:nsid w:val="27344256"/>
    <w:multiLevelType w:val="hybridMultilevel"/>
    <w:tmpl w:val="B1B84D94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27E06F6E"/>
    <w:multiLevelType w:val="hybridMultilevel"/>
    <w:tmpl w:val="32FA18F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BBC1216"/>
    <w:multiLevelType w:val="hybridMultilevel"/>
    <w:tmpl w:val="ABF0B9DA"/>
    <w:lvl w:ilvl="0" w:tplc="49ACD214">
      <w:numFmt w:val="bullet"/>
      <w:lvlText w:val="-"/>
      <w:lvlJc w:val="left"/>
      <w:pPr>
        <w:ind w:left="645" w:hanging="360"/>
      </w:pPr>
      <w:rPr>
        <w:rFonts w:ascii="Calibri" w:eastAsia="Times New Roman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3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0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6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05" w:hanging="360"/>
      </w:pPr>
      <w:rPr>
        <w:rFonts w:ascii="Wingdings" w:hAnsi="Wingdings" w:hint="default"/>
      </w:rPr>
    </w:lvl>
  </w:abstractNum>
  <w:abstractNum w:abstractNumId="20" w15:restartNumberingAfterBreak="0">
    <w:nsid w:val="2E2467E4"/>
    <w:multiLevelType w:val="hybridMultilevel"/>
    <w:tmpl w:val="5512FD4A"/>
    <w:lvl w:ilvl="0" w:tplc="7B029E14">
      <w:numFmt w:val="bullet"/>
      <w:lvlText w:val="-"/>
      <w:lvlJc w:val="left"/>
      <w:pPr>
        <w:ind w:left="2138" w:hanging="360"/>
      </w:pPr>
      <w:rPr>
        <w:rFonts w:ascii="Calibri" w:eastAsia="Calibri" w:hAnsi="Calibri" w:cs="Calibri" w:hint="default"/>
      </w:rPr>
    </w:lvl>
    <w:lvl w:ilvl="1" w:tplc="FFFFFFFF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21" w15:restartNumberingAfterBreak="0">
    <w:nsid w:val="2FE402D0"/>
    <w:multiLevelType w:val="hybridMultilevel"/>
    <w:tmpl w:val="3E7C71C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i w:val="0"/>
        <w:sz w:val="2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1457437"/>
    <w:multiLevelType w:val="hybridMultilevel"/>
    <w:tmpl w:val="25D6DBB8"/>
    <w:lvl w:ilvl="0" w:tplc="A5984A20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2CC6A97"/>
    <w:multiLevelType w:val="multilevel"/>
    <w:tmpl w:val="DE60BF14"/>
    <w:lvl w:ilvl="0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24" w15:restartNumberingAfterBreak="0">
    <w:nsid w:val="34D1756E"/>
    <w:multiLevelType w:val="multilevel"/>
    <w:tmpl w:val="BCB62E9C"/>
    <w:lvl w:ilvl="0">
      <w:start w:val="1"/>
      <w:numFmt w:val="decimal"/>
      <w:lvlText w:val=""/>
      <w:lvlJc w:val="left"/>
      <w:pPr>
        <w:ind w:left="0" w:firstLine="0"/>
      </w:pPr>
    </w:lvl>
    <w:lvl w:ilvl="1">
      <w:start w:val="1"/>
      <w:numFmt w:val="decimal"/>
      <w:lvlText w:val=""/>
      <w:lvlJc w:val="left"/>
      <w:pPr>
        <w:ind w:left="0" w:firstLine="0"/>
      </w:pPr>
    </w:lvl>
    <w:lvl w:ilvl="2">
      <w:start w:val="1"/>
      <w:numFmt w:val="decimal"/>
      <w:lvlText w:val=""/>
      <w:lvlJc w:val="left"/>
      <w:pPr>
        <w:ind w:left="0" w:firstLine="0"/>
      </w:pPr>
    </w:lvl>
    <w:lvl w:ilvl="3">
      <w:start w:val="1"/>
      <w:numFmt w:val="decimal"/>
      <w:lvlText w:val=""/>
      <w:lvlJc w:val="left"/>
      <w:pPr>
        <w:ind w:left="0" w:firstLine="0"/>
      </w:pPr>
    </w:lvl>
    <w:lvl w:ilvl="4">
      <w:start w:val="1"/>
      <w:numFmt w:val="decimal"/>
      <w:lvlText w:val=""/>
      <w:lvlJc w:val="left"/>
      <w:pPr>
        <w:ind w:left="0" w:firstLine="0"/>
      </w:pPr>
    </w:lvl>
    <w:lvl w:ilvl="5">
      <w:start w:val="1"/>
      <w:numFmt w:val="decimal"/>
      <w:lvlText w:val=""/>
      <w:lvlJc w:val="left"/>
      <w:pPr>
        <w:ind w:left="0" w:firstLine="0"/>
      </w:pPr>
    </w:lvl>
    <w:lvl w:ilvl="6">
      <w:start w:val="1"/>
      <w:numFmt w:val="decimal"/>
      <w:lvlText w:val=""/>
      <w:lvlJc w:val="left"/>
      <w:pPr>
        <w:ind w:left="0" w:firstLine="0"/>
      </w:pPr>
    </w:lvl>
    <w:lvl w:ilvl="7">
      <w:start w:val="1"/>
      <w:numFmt w:val="decimal"/>
      <w:lvlText w:val=""/>
      <w:lvlJc w:val="left"/>
      <w:pPr>
        <w:ind w:left="0" w:firstLine="0"/>
      </w:pPr>
    </w:lvl>
    <w:lvl w:ilvl="8">
      <w:start w:val="1"/>
      <w:numFmt w:val="decimal"/>
      <w:lvlText w:val=""/>
      <w:lvlJc w:val="left"/>
      <w:pPr>
        <w:ind w:left="0" w:firstLine="0"/>
      </w:pPr>
    </w:lvl>
  </w:abstractNum>
  <w:abstractNum w:abstractNumId="25" w15:restartNumberingAfterBreak="0">
    <w:nsid w:val="371C7B2C"/>
    <w:multiLevelType w:val="multilevel"/>
    <w:tmpl w:val="1F28BD34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26" w15:restartNumberingAfterBreak="0">
    <w:nsid w:val="3C170246"/>
    <w:multiLevelType w:val="hybridMultilevel"/>
    <w:tmpl w:val="4780823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CDE59FC"/>
    <w:multiLevelType w:val="multilevel"/>
    <w:tmpl w:val="DE46E8A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◦"/>
      <w:lvlJc w:val="left"/>
      <w:pPr>
        <w:ind w:left="1080" w:hanging="360"/>
      </w:pPr>
      <w:rPr>
        <w:rFonts w:ascii="Noto Sans Symbols" w:eastAsia="Noto Sans Symbols" w:hAnsi="Noto Sans Symbols" w:cs="Noto Sans Symbols"/>
      </w:rPr>
    </w:lvl>
    <w:lvl w:ilvl="2">
      <w:start w:val="1"/>
      <w:numFmt w:val="bullet"/>
      <w:lvlText w:val="▪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◦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5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◦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8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</w:rPr>
    </w:lvl>
  </w:abstractNum>
  <w:abstractNum w:abstractNumId="28" w15:restartNumberingAfterBreak="0">
    <w:nsid w:val="3E5B6A75"/>
    <w:multiLevelType w:val="hybridMultilevel"/>
    <w:tmpl w:val="AEB28DE0"/>
    <w:lvl w:ilvl="0" w:tplc="F9C4986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  <w:sz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1103F84"/>
    <w:multiLevelType w:val="hybridMultilevel"/>
    <w:tmpl w:val="0F98B66A"/>
    <w:lvl w:ilvl="0" w:tplc="2648065A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9422788"/>
    <w:multiLevelType w:val="hybridMultilevel"/>
    <w:tmpl w:val="391A1E8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4B50C9"/>
    <w:multiLevelType w:val="hybridMultilevel"/>
    <w:tmpl w:val="8B1AD824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5128340A"/>
    <w:multiLevelType w:val="hybridMultilevel"/>
    <w:tmpl w:val="430EE0B0"/>
    <w:lvl w:ilvl="0" w:tplc="49ACD214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09543D"/>
    <w:multiLevelType w:val="multilevel"/>
    <w:tmpl w:val="2DB49D4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4" w15:restartNumberingAfterBreak="0">
    <w:nsid w:val="5D1A7766"/>
    <w:multiLevelType w:val="hybridMultilevel"/>
    <w:tmpl w:val="D6B47556"/>
    <w:lvl w:ilvl="0" w:tplc="4E941450">
      <w:numFmt w:val="decimal"/>
      <w:lvlText w:val=""/>
      <w:lvlJc w:val="left"/>
      <w:pPr>
        <w:ind w:left="717" w:hanging="360"/>
      </w:pPr>
      <w:rPr>
        <w:rFonts w:ascii="Symbol" w:hAnsi="Symbol" w:hint="default"/>
      </w:rPr>
    </w:lvl>
    <w:lvl w:ilvl="1" w:tplc="04050005">
      <w:numFmt w:val="decimal"/>
      <w:lvlText w:val=""/>
      <w:lvlJc w:val="left"/>
      <w:pPr>
        <w:ind w:left="1437" w:hanging="360"/>
      </w:pPr>
      <w:rPr>
        <w:rFonts w:ascii="Wingdings" w:hAnsi="Wingdings" w:hint="default"/>
      </w:rPr>
    </w:lvl>
    <w:lvl w:ilvl="2" w:tplc="0405001B">
      <w:start w:val="1"/>
      <w:numFmt w:val="lowerRoman"/>
      <w:lvlText w:val="%3."/>
      <w:lvlJc w:val="right"/>
      <w:pPr>
        <w:ind w:left="2157" w:hanging="180"/>
      </w:pPr>
      <w:rPr>
        <w:rFonts w:cs="Times New Roman"/>
      </w:rPr>
    </w:lvl>
    <w:lvl w:ilvl="3" w:tplc="04050005">
      <w:start w:val="1"/>
      <w:numFmt w:val="bullet"/>
      <w:lvlText w:val=""/>
      <w:lvlJc w:val="left"/>
      <w:pPr>
        <w:ind w:left="2877" w:hanging="360"/>
      </w:pPr>
      <w:rPr>
        <w:rFonts w:ascii="Wingdings" w:hAnsi="Wingdings" w:hint="default"/>
      </w:rPr>
    </w:lvl>
    <w:lvl w:ilvl="4" w:tplc="04050019">
      <w:start w:val="1"/>
      <w:numFmt w:val="lowerLetter"/>
      <w:lvlText w:val="%5."/>
      <w:lvlJc w:val="left"/>
      <w:pPr>
        <w:ind w:left="3597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17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37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57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77" w:hanging="180"/>
      </w:pPr>
      <w:rPr>
        <w:rFonts w:cs="Times New Roman"/>
      </w:rPr>
    </w:lvl>
  </w:abstractNum>
  <w:abstractNum w:abstractNumId="35" w15:restartNumberingAfterBreak="0">
    <w:nsid w:val="5F340DD7"/>
    <w:multiLevelType w:val="hybridMultilevel"/>
    <w:tmpl w:val="62DCFC80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b w:val="0"/>
        <w:i w:val="0"/>
        <w:sz w:val="2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84451DF"/>
    <w:multiLevelType w:val="hybridMultilevel"/>
    <w:tmpl w:val="2EA83BF0"/>
    <w:lvl w:ilvl="0" w:tplc="9E5A83CA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Arial" w:hAnsi="Arial" w:cs="Arial" w:hint="default"/>
        <w:caps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BBA7F2F"/>
    <w:multiLevelType w:val="hybridMultilevel"/>
    <w:tmpl w:val="E10E8C4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E4E084A"/>
    <w:multiLevelType w:val="multilevel"/>
    <w:tmpl w:val="6B52C482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39" w15:restartNumberingAfterBreak="0">
    <w:nsid w:val="70DB4A36"/>
    <w:multiLevelType w:val="hybridMultilevel"/>
    <w:tmpl w:val="58CA924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118730F"/>
    <w:multiLevelType w:val="hybridMultilevel"/>
    <w:tmpl w:val="C450E310"/>
    <w:lvl w:ilvl="0" w:tplc="04050001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41" w15:restartNumberingAfterBreak="0">
    <w:nsid w:val="73734DF1"/>
    <w:multiLevelType w:val="multilevel"/>
    <w:tmpl w:val="3AF4F4EC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rFonts w:ascii="Arial" w:hAnsi="Arial" w:hint="default"/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num w:numId="1">
    <w:abstractNumId w:val="31"/>
  </w:num>
  <w:num w:numId="2">
    <w:abstractNumId w:val="22"/>
  </w:num>
  <w:num w:numId="3">
    <w:abstractNumId w:val="39"/>
  </w:num>
  <w:num w:numId="4">
    <w:abstractNumId w:val="8"/>
  </w:num>
  <w:num w:numId="5">
    <w:abstractNumId w:val="24"/>
  </w:num>
  <w:num w:numId="6">
    <w:abstractNumId w:val="27"/>
  </w:num>
  <w:num w:numId="7">
    <w:abstractNumId w:val="3"/>
  </w:num>
  <w:num w:numId="8">
    <w:abstractNumId w:val="7"/>
  </w:num>
  <w:num w:numId="9">
    <w:abstractNumId w:val="28"/>
  </w:num>
  <w:num w:numId="10">
    <w:abstractNumId w:val="20"/>
  </w:num>
  <w:num w:numId="11">
    <w:abstractNumId w:val="9"/>
  </w:num>
  <w:num w:numId="12">
    <w:abstractNumId w:val="21"/>
  </w:num>
  <w:num w:numId="13">
    <w:abstractNumId w:val="35"/>
  </w:num>
  <w:num w:numId="14">
    <w:abstractNumId w:val="3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4"/>
  </w:num>
  <w:num w:numId="16">
    <w:abstractNumId w:val="29"/>
  </w:num>
  <w:num w:numId="17">
    <w:abstractNumId w:val="33"/>
  </w:num>
  <w:num w:numId="18">
    <w:abstractNumId w:val="2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4"/>
  </w:num>
  <w:num w:numId="20">
    <w:abstractNumId w:val="26"/>
  </w:num>
  <w:num w:numId="21">
    <w:abstractNumId w:val="13"/>
  </w:num>
  <w:num w:numId="22">
    <w:abstractNumId w:val="1"/>
  </w:num>
  <w:num w:numId="23">
    <w:abstractNumId w:val="37"/>
  </w:num>
  <w:num w:numId="24">
    <w:abstractNumId w:val="40"/>
  </w:num>
  <w:num w:numId="25">
    <w:abstractNumId w:val="17"/>
  </w:num>
  <w:num w:numId="26">
    <w:abstractNumId w:val="30"/>
  </w:num>
  <w:num w:numId="27">
    <w:abstractNumId w:val="19"/>
  </w:num>
  <w:num w:numId="28">
    <w:abstractNumId w:val="2"/>
  </w:num>
  <w:num w:numId="29">
    <w:abstractNumId w:val="6"/>
  </w:num>
  <w:num w:numId="30">
    <w:abstractNumId w:val="5"/>
  </w:num>
  <w:num w:numId="31">
    <w:abstractNumId w:val="12"/>
  </w:num>
  <w:num w:numId="32">
    <w:abstractNumId w:val="16"/>
  </w:num>
  <w:num w:numId="33">
    <w:abstractNumId w:val="10"/>
  </w:num>
  <w:num w:numId="34">
    <w:abstractNumId w:val="15"/>
  </w:num>
  <w:num w:numId="35">
    <w:abstractNumId w:val="32"/>
  </w:num>
  <w:num w:numId="36">
    <w:abstractNumId w:val="38"/>
  </w:num>
  <w:num w:numId="37">
    <w:abstractNumId w:val="41"/>
  </w:num>
  <w:num w:numId="38">
    <w:abstractNumId w:val="14"/>
  </w:num>
  <w:num w:numId="39">
    <w:abstractNumId w:val="25"/>
  </w:num>
  <w:num w:numId="40">
    <w:abstractNumId w:val="23"/>
  </w:num>
  <w:num w:numId="41">
    <w:abstractNumId w:val="0"/>
  </w:num>
  <w:num w:numId="42">
    <w:abstractNumId w:val="18"/>
  </w:num>
  <w:num w:numId="4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09"/>
  <w:autoHyphenation/>
  <w:hyphenationZone w:val="425"/>
  <w:characterSpacingControl w:val="doNotCompress"/>
  <w:savePreviewPicture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2sjAyNDE1MDOytDA2sDRV0lEKTi0uzszPAykwqgUAScdJKiwAAAA="/>
  </w:docVars>
  <w:rsids>
    <w:rsidRoot w:val="001C18E2"/>
    <w:rsid w:val="0000211A"/>
    <w:rsid w:val="00004B5A"/>
    <w:rsid w:val="00006FA0"/>
    <w:rsid w:val="00010194"/>
    <w:rsid w:val="00011B79"/>
    <w:rsid w:val="0001264E"/>
    <w:rsid w:val="00012DB6"/>
    <w:rsid w:val="00020AA9"/>
    <w:rsid w:val="00022622"/>
    <w:rsid w:val="00035523"/>
    <w:rsid w:val="0003566B"/>
    <w:rsid w:val="000459D3"/>
    <w:rsid w:val="000462BB"/>
    <w:rsid w:val="00046994"/>
    <w:rsid w:val="0005021B"/>
    <w:rsid w:val="000505FD"/>
    <w:rsid w:val="000553E7"/>
    <w:rsid w:val="00056D15"/>
    <w:rsid w:val="00061739"/>
    <w:rsid w:val="000628E9"/>
    <w:rsid w:val="00066E57"/>
    <w:rsid w:val="00071366"/>
    <w:rsid w:val="00074B15"/>
    <w:rsid w:val="00076610"/>
    <w:rsid w:val="000767EF"/>
    <w:rsid w:val="00076BE1"/>
    <w:rsid w:val="00080155"/>
    <w:rsid w:val="00081919"/>
    <w:rsid w:val="0008599C"/>
    <w:rsid w:val="000926C3"/>
    <w:rsid w:val="00093E1B"/>
    <w:rsid w:val="00097C68"/>
    <w:rsid w:val="00097EED"/>
    <w:rsid w:val="000A6CA0"/>
    <w:rsid w:val="000C6C46"/>
    <w:rsid w:val="000D3EDA"/>
    <w:rsid w:val="000E18AB"/>
    <w:rsid w:val="000E50A6"/>
    <w:rsid w:val="000E5DFA"/>
    <w:rsid w:val="000E5F87"/>
    <w:rsid w:val="000E6F20"/>
    <w:rsid w:val="000E7454"/>
    <w:rsid w:val="000F026E"/>
    <w:rsid w:val="000F0D0D"/>
    <w:rsid w:val="000F554E"/>
    <w:rsid w:val="001024CA"/>
    <w:rsid w:val="00117811"/>
    <w:rsid w:val="00117DAE"/>
    <w:rsid w:val="00127B98"/>
    <w:rsid w:val="00130337"/>
    <w:rsid w:val="001344B4"/>
    <w:rsid w:val="00134E7A"/>
    <w:rsid w:val="00136B56"/>
    <w:rsid w:val="00142302"/>
    <w:rsid w:val="00142E36"/>
    <w:rsid w:val="00147BB1"/>
    <w:rsid w:val="00150D98"/>
    <w:rsid w:val="0015166D"/>
    <w:rsid w:val="0015219D"/>
    <w:rsid w:val="001567C1"/>
    <w:rsid w:val="00160BF0"/>
    <w:rsid w:val="00165B84"/>
    <w:rsid w:val="00167E53"/>
    <w:rsid w:val="00176FA7"/>
    <w:rsid w:val="001770B5"/>
    <w:rsid w:val="00191C01"/>
    <w:rsid w:val="0019711C"/>
    <w:rsid w:val="001A0BDF"/>
    <w:rsid w:val="001A6F23"/>
    <w:rsid w:val="001A7BFD"/>
    <w:rsid w:val="001B3F43"/>
    <w:rsid w:val="001B60D7"/>
    <w:rsid w:val="001C18E2"/>
    <w:rsid w:val="001C3682"/>
    <w:rsid w:val="001E3724"/>
    <w:rsid w:val="001F1EAD"/>
    <w:rsid w:val="001F38C4"/>
    <w:rsid w:val="001F78C7"/>
    <w:rsid w:val="002003DA"/>
    <w:rsid w:val="00211C3A"/>
    <w:rsid w:val="00215330"/>
    <w:rsid w:val="00216E44"/>
    <w:rsid w:val="00217B05"/>
    <w:rsid w:val="00220EC7"/>
    <w:rsid w:val="0022382C"/>
    <w:rsid w:val="00223E1F"/>
    <w:rsid w:val="00224083"/>
    <w:rsid w:val="00225B18"/>
    <w:rsid w:val="00226578"/>
    <w:rsid w:val="00227554"/>
    <w:rsid w:val="0023048A"/>
    <w:rsid w:val="00235943"/>
    <w:rsid w:val="00237791"/>
    <w:rsid w:val="002377E9"/>
    <w:rsid w:val="00242F04"/>
    <w:rsid w:val="00247883"/>
    <w:rsid w:val="00265A23"/>
    <w:rsid w:val="00267EE2"/>
    <w:rsid w:val="002715C2"/>
    <w:rsid w:val="002716C0"/>
    <w:rsid w:val="00274393"/>
    <w:rsid w:val="00276A14"/>
    <w:rsid w:val="00282FE8"/>
    <w:rsid w:val="002854EF"/>
    <w:rsid w:val="00290930"/>
    <w:rsid w:val="00294656"/>
    <w:rsid w:val="0029498C"/>
    <w:rsid w:val="00294F4F"/>
    <w:rsid w:val="0029773C"/>
    <w:rsid w:val="002A47C7"/>
    <w:rsid w:val="002A5F48"/>
    <w:rsid w:val="002A6549"/>
    <w:rsid w:val="002A774B"/>
    <w:rsid w:val="002B0073"/>
    <w:rsid w:val="002B1C0A"/>
    <w:rsid w:val="002B416B"/>
    <w:rsid w:val="002C12D7"/>
    <w:rsid w:val="002C474F"/>
    <w:rsid w:val="002D1DA8"/>
    <w:rsid w:val="002E124C"/>
    <w:rsid w:val="002F5F28"/>
    <w:rsid w:val="002F741E"/>
    <w:rsid w:val="0030001B"/>
    <w:rsid w:val="0030365F"/>
    <w:rsid w:val="00304B48"/>
    <w:rsid w:val="00310D2C"/>
    <w:rsid w:val="0031418F"/>
    <w:rsid w:val="00317C1B"/>
    <w:rsid w:val="00321214"/>
    <w:rsid w:val="003333A1"/>
    <w:rsid w:val="00334CB5"/>
    <w:rsid w:val="00337B0A"/>
    <w:rsid w:val="00346B90"/>
    <w:rsid w:val="00347543"/>
    <w:rsid w:val="00351135"/>
    <w:rsid w:val="00353DB8"/>
    <w:rsid w:val="00355F0D"/>
    <w:rsid w:val="00357096"/>
    <w:rsid w:val="003574E7"/>
    <w:rsid w:val="0036081F"/>
    <w:rsid w:val="003608CD"/>
    <w:rsid w:val="003612AC"/>
    <w:rsid w:val="00362974"/>
    <w:rsid w:val="00362DE3"/>
    <w:rsid w:val="0037014F"/>
    <w:rsid w:val="00371977"/>
    <w:rsid w:val="0037706A"/>
    <w:rsid w:val="003779E7"/>
    <w:rsid w:val="00380BC1"/>
    <w:rsid w:val="00385648"/>
    <w:rsid w:val="0038748C"/>
    <w:rsid w:val="00393A54"/>
    <w:rsid w:val="003954A6"/>
    <w:rsid w:val="003959E4"/>
    <w:rsid w:val="00395B2B"/>
    <w:rsid w:val="003A267E"/>
    <w:rsid w:val="003B070B"/>
    <w:rsid w:val="003B6C2D"/>
    <w:rsid w:val="003C3887"/>
    <w:rsid w:val="003D4C4C"/>
    <w:rsid w:val="003D63BD"/>
    <w:rsid w:val="003D71A2"/>
    <w:rsid w:val="003F25FF"/>
    <w:rsid w:val="00402A4A"/>
    <w:rsid w:val="00405755"/>
    <w:rsid w:val="004068AD"/>
    <w:rsid w:val="004104B6"/>
    <w:rsid w:val="004107DE"/>
    <w:rsid w:val="00410E06"/>
    <w:rsid w:val="004145C7"/>
    <w:rsid w:val="00415E4C"/>
    <w:rsid w:val="004165CB"/>
    <w:rsid w:val="0042070F"/>
    <w:rsid w:val="00420B44"/>
    <w:rsid w:val="00421BC4"/>
    <w:rsid w:val="00431545"/>
    <w:rsid w:val="004325D2"/>
    <w:rsid w:val="0044198E"/>
    <w:rsid w:val="00443608"/>
    <w:rsid w:val="00443D91"/>
    <w:rsid w:val="00455971"/>
    <w:rsid w:val="00463BFD"/>
    <w:rsid w:val="004641A1"/>
    <w:rsid w:val="0046433E"/>
    <w:rsid w:val="004658BB"/>
    <w:rsid w:val="00465A6E"/>
    <w:rsid w:val="00467E22"/>
    <w:rsid w:val="004748B2"/>
    <w:rsid w:val="00475DE2"/>
    <w:rsid w:val="004776D4"/>
    <w:rsid w:val="004850CE"/>
    <w:rsid w:val="00496A64"/>
    <w:rsid w:val="004974C2"/>
    <w:rsid w:val="004A081C"/>
    <w:rsid w:val="004A1810"/>
    <w:rsid w:val="004A3589"/>
    <w:rsid w:val="004A5EC7"/>
    <w:rsid w:val="004B0E5D"/>
    <w:rsid w:val="004B7B8D"/>
    <w:rsid w:val="004C11F8"/>
    <w:rsid w:val="004E05CC"/>
    <w:rsid w:val="004E6512"/>
    <w:rsid w:val="004F1690"/>
    <w:rsid w:val="004F22FE"/>
    <w:rsid w:val="004F3510"/>
    <w:rsid w:val="004F4BE7"/>
    <w:rsid w:val="004F73D0"/>
    <w:rsid w:val="004F7579"/>
    <w:rsid w:val="004F7B85"/>
    <w:rsid w:val="005035BC"/>
    <w:rsid w:val="00505616"/>
    <w:rsid w:val="0051712D"/>
    <w:rsid w:val="005263E6"/>
    <w:rsid w:val="0053214E"/>
    <w:rsid w:val="00532744"/>
    <w:rsid w:val="00534AF2"/>
    <w:rsid w:val="00537219"/>
    <w:rsid w:val="0054030B"/>
    <w:rsid w:val="00541DCD"/>
    <w:rsid w:val="00546B30"/>
    <w:rsid w:val="0055346A"/>
    <w:rsid w:val="00554342"/>
    <w:rsid w:val="00566547"/>
    <w:rsid w:val="005667D1"/>
    <w:rsid w:val="0057467A"/>
    <w:rsid w:val="00580354"/>
    <w:rsid w:val="00582E71"/>
    <w:rsid w:val="00592E10"/>
    <w:rsid w:val="00597879"/>
    <w:rsid w:val="005A1DED"/>
    <w:rsid w:val="005B2B4B"/>
    <w:rsid w:val="005B5EF7"/>
    <w:rsid w:val="005B66EF"/>
    <w:rsid w:val="005B7E46"/>
    <w:rsid w:val="005C28AB"/>
    <w:rsid w:val="005D6558"/>
    <w:rsid w:val="005F12AE"/>
    <w:rsid w:val="005F22E9"/>
    <w:rsid w:val="005F29FD"/>
    <w:rsid w:val="005F4289"/>
    <w:rsid w:val="006056A9"/>
    <w:rsid w:val="006071A6"/>
    <w:rsid w:val="0061122D"/>
    <w:rsid w:val="0062578F"/>
    <w:rsid w:val="00625E34"/>
    <w:rsid w:val="0062671E"/>
    <w:rsid w:val="00635693"/>
    <w:rsid w:val="00644F68"/>
    <w:rsid w:val="0064714F"/>
    <w:rsid w:val="00652BD2"/>
    <w:rsid w:val="0065725D"/>
    <w:rsid w:val="00663A2B"/>
    <w:rsid w:val="00664A69"/>
    <w:rsid w:val="006724C2"/>
    <w:rsid w:val="00674E37"/>
    <w:rsid w:val="006764C6"/>
    <w:rsid w:val="0067731C"/>
    <w:rsid w:val="00684AD9"/>
    <w:rsid w:val="006853E8"/>
    <w:rsid w:val="006949B6"/>
    <w:rsid w:val="006A7BA6"/>
    <w:rsid w:val="006B19F6"/>
    <w:rsid w:val="006C5F7F"/>
    <w:rsid w:val="006D3031"/>
    <w:rsid w:val="006D53D4"/>
    <w:rsid w:val="006D6ECD"/>
    <w:rsid w:val="006E6457"/>
    <w:rsid w:val="006F088E"/>
    <w:rsid w:val="006F1772"/>
    <w:rsid w:val="006F5475"/>
    <w:rsid w:val="006F755A"/>
    <w:rsid w:val="007123C9"/>
    <w:rsid w:val="0071349D"/>
    <w:rsid w:val="00717445"/>
    <w:rsid w:val="00733AD7"/>
    <w:rsid w:val="00735475"/>
    <w:rsid w:val="007402BA"/>
    <w:rsid w:val="00741252"/>
    <w:rsid w:val="007434C1"/>
    <w:rsid w:val="007518F0"/>
    <w:rsid w:val="00753DC4"/>
    <w:rsid w:val="0075640E"/>
    <w:rsid w:val="00761009"/>
    <w:rsid w:val="00771658"/>
    <w:rsid w:val="00772E5B"/>
    <w:rsid w:val="00776F82"/>
    <w:rsid w:val="00777992"/>
    <w:rsid w:val="0078126A"/>
    <w:rsid w:val="00782213"/>
    <w:rsid w:val="007846DA"/>
    <w:rsid w:val="007A324C"/>
    <w:rsid w:val="007A48FC"/>
    <w:rsid w:val="007A713F"/>
    <w:rsid w:val="007A745F"/>
    <w:rsid w:val="007B4A11"/>
    <w:rsid w:val="007B7EFF"/>
    <w:rsid w:val="007C388C"/>
    <w:rsid w:val="007C5C2B"/>
    <w:rsid w:val="007E05E8"/>
    <w:rsid w:val="007E523D"/>
    <w:rsid w:val="007E5445"/>
    <w:rsid w:val="007E54F5"/>
    <w:rsid w:val="007F3777"/>
    <w:rsid w:val="007F6075"/>
    <w:rsid w:val="0080120B"/>
    <w:rsid w:val="008147F4"/>
    <w:rsid w:val="008226F2"/>
    <w:rsid w:val="00822E34"/>
    <w:rsid w:val="008241DB"/>
    <w:rsid w:val="00826575"/>
    <w:rsid w:val="008343DC"/>
    <w:rsid w:val="00844622"/>
    <w:rsid w:val="0084610A"/>
    <w:rsid w:val="0084698F"/>
    <w:rsid w:val="00851009"/>
    <w:rsid w:val="00851C93"/>
    <w:rsid w:val="008559A8"/>
    <w:rsid w:val="008572D6"/>
    <w:rsid w:val="0086416E"/>
    <w:rsid w:val="00865A59"/>
    <w:rsid w:val="0086720A"/>
    <w:rsid w:val="00867CD8"/>
    <w:rsid w:val="008712A7"/>
    <w:rsid w:val="008752A5"/>
    <w:rsid w:val="008769D1"/>
    <w:rsid w:val="00876DD6"/>
    <w:rsid w:val="008822E9"/>
    <w:rsid w:val="008835C2"/>
    <w:rsid w:val="008958F4"/>
    <w:rsid w:val="008A0AAD"/>
    <w:rsid w:val="008A4EFD"/>
    <w:rsid w:val="008B34AE"/>
    <w:rsid w:val="008B43A1"/>
    <w:rsid w:val="008B56BE"/>
    <w:rsid w:val="008B653B"/>
    <w:rsid w:val="008B71CD"/>
    <w:rsid w:val="008C0EB4"/>
    <w:rsid w:val="008C1953"/>
    <w:rsid w:val="008C7397"/>
    <w:rsid w:val="008D1FB1"/>
    <w:rsid w:val="008E4488"/>
    <w:rsid w:val="008E76CD"/>
    <w:rsid w:val="008F2DB2"/>
    <w:rsid w:val="008F6642"/>
    <w:rsid w:val="008F7A19"/>
    <w:rsid w:val="00903221"/>
    <w:rsid w:val="009179AA"/>
    <w:rsid w:val="00933711"/>
    <w:rsid w:val="00933D5E"/>
    <w:rsid w:val="0093406F"/>
    <w:rsid w:val="00937F01"/>
    <w:rsid w:val="009508F6"/>
    <w:rsid w:val="00953CAD"/>
    <w:rsid w:val="00957595"/>
    <w:rsid w:val="009715FD"/>
    <w:rsid w:val="0097628F"/>
    <w:rsid w:val="00977A3B"/>
    <w:rsid w:val="0098156D"/>
    <w:rsid w:val="009829A1"/>
    <w:rsid w:val="00987C2E"/>
    <w:rsid w:val="009901A8"/>
    <w:rsid w:val="00990665"/>
    <w:rsid w:val="00992A6D"/>
    <w:rsid w:val="00993039"/>
    <w:rsid w:val="00994CEE"/>
    <w:rsid w:val="009A069D"/>
    <w:rsid w:val="009A13CC"/>
    <w:rsid w:val="009A27CF"/>
    <w:rsid w:val="009A604A"/>
    <w:rsid w:val="009B40FC"/>
    <w:rsid w:val="009C1A50"/>
    <w:rsid w:val="009D2DDD"/>
    <w:rsid w:val="009E2D48"/>
    <w:rsid w:val="009F3BA1"/>
    <w:rsid w:val="009F45A3"/>
    <w:rsid w:val="009F54E4"/>
    <w:rsid w:val="00A06AE8"/>
    <w:rsid w:val="00A070E7"/>
    <w:rsid w:val="00A11C0D"/>
    <w:rsid w:val="00A13E80"/>
    <w:rsid w:val="00A148EB"/>
    <w:rsid w:val="00A17AE0"/>
    <w:rsid w:val="00A206C4"/>
    <w:rsid w:val="00A21F2F"/>
    <w:rsid w:val="00A22D30"/>
    <w:rsid w:val="00A26C0D"/>
    <w:rsid w:val="00A27969"/>
    <w:rsid w:val="00A35A21"/>
    <w:rsid w:val="00A3707A"/>
    <w:rsid w:val="00A37B1A"/>
    <w:rsid w:val="00A40464"/>
    <w:rsid w:val="00A43448"/>
    <w:rsid w:val="00A52FC8"/>
    <w:rsid w:val="00A5405A"/>
    <w:rsid w:val="00A60665"/>
    <w:rsid w:val="00A709CF"/>
    <w:rsid w:val="00A722DD"/>
    <w:rsid w:val="00A73A05"/>
    <w:rsid w:val="00A769D9"/>
    <w:rsid w:val="00A8138E"/>
    <w:rsid w:val="00A82380"/>
    <w:rsid w:val="00A90DC4"/>
    <w:rsid w:val="00A95628"/>
    <w:rsid w:val="00A97DA8"/>
    <w:rsid w:val="00AA1F7E"/>
    <w:rsid w:val="00AA4D2C"/>
    <w:rsid w:val="00AA68C7"/>
    <w:rsid w:val="00AB4C53"/>
    <w:rsid w:val="00AB5FAB"/>
    <w:rsid w:val="00AC0D66"/>
    <w:rsid w:val="00AC3F07"/>
    <w:rsid w:val="00AD4FB9"/>
    <w:rsid w:val="00AD5610"/>
    <w:rsid w:val="00AE1E01"/>
    <w:rsid w:val="00AE3274"/>
    <w:rsid w:val="00AF0B36"/>
    <w:rsid w:val="00AF6A77"/>
    <w:rsid w:val="00B00913"/>
    <w:rsid w:val="00B0174D"/>
    <w:rsid w:val="00B04A41"/>
    <w:rsid w:val="00B0508C"/>
    <w:rsid w:val="00B1232C"/>
    <w:rsid w:val="00B13F2A"/>
    <w:rsid w:val="00B23622"/>
    <w:rsid w:val="00B26954"/>
    <w:rsid w:val="00B274A5"/>
    <w:rsid w:val="00B30F4A"/>
    <w:rsid w:val="00B348CE"/>
    <w:rsid w:val="00B349B8"/>
    <w:rsid w:val="00B36C41"/>
    <w:rsid w:val="00B409A1"/>
    <w:rsid w:val="00B46523"/>
    <w:rsid w:val="00B52635"/>
    <w:rsid w:val="00B65B26"/>
    <w:rsid w:val="00B66232"/>
    <w:rsid w:val="00B672E4"/>
    <w:rsid w:val="00B724CC"/>
    <w:rsid w:val="00B83849"/>
    <w:rsid w:val="00B8465F"/>
    <w:rsid w:val="00B95A4A"/>
    <w:rsid w:val="00BA0771"/>
    <w:rsid w:val="00BA0EEF"/>
    <w:rsid w:val="00BA192C"/>
    <w:rsid w:val="00BA4654"/>
    <w:rsid w:val="00BA69C5"/>
    <w:rsid w:val="00BA6F4E"/>
    <w:rsid w:val="00BB184B"/>
    <w:rsid w:val="00BB6F95"/>
    <w:rsid w:val="00BB76A2"/>
    <w:rsid w:val="00BB79A0"/>
    <w:rsid w:val="00BC2702"/>
    <w:rsid w:val="00BE1DCB"/>
    <w:rsid w:val="00BE7047"/>
    <w:rsid w:val="00BF0E46"/>
    <w:rsid w:val="00BF489B"/>
    <w:rsid w:val="00C02B68"/>
    <w:rsid w:val="00C02C74"/>
    <w:rsid w:val="00C0646F"/>
    <w:rsid w:val="00C10ED4"/>
    <w:rsid w:val="00C12418"/>
    <w:rsid w:val="00C13217"/>
    <w:rsid w:val="00C14120"/>
    <w:rsid w:val="00C429DE"/>
    <w:rsid w:val="00C47F9A"/>
    <w:rsid w:val="00C505BB"/>
    <w:rsid w:val="00C57768"/>
    <w:rsid w:val="00C7051C"/>
    <w:rsid w:val="00C73E2D"/>
    <w:rsid w:val="00C75C81"/>
    <w:rsid w:val="00C77129"/>
    <w:rsid w:val="00C85EA0"/>
    <w:rsid w:val="00C87F5C"/>
    <w:rsid w:val="00C932B0"/>
    <w:rsid w:val="00C967F3"/>
    <w:rsid w:val="00CB0884"/>
    <w:rsid w:val="00CB1111"/>
    <w:rsid w:val="00CB2D14"/>
    <w:rsid w:val="00CB563B"/>
    <w:rsid w:val="00CB6A51"/>
    <w:rsid w:val="00CC06E0"/>
    <w:rsid w:val="00CC5E16"/>
    <w:rsid w:val="00CC7A43"/>
    <w:rsid w:val="00CD5A72"/>
    <w:rsid w:val="00CD5E20"/>
    <w:rsid w:val="00CD5E33"/>
    <w:rsid w:val="00CE0493"/>
    <w:rsid w:val="00CE09C3"/>
    <w:rsid w:val="00CE1614"/>
    <w:rsid w:val="00CE2154"/>
    <w:rsid w:val="00CE6B12"/>
    <w:rsid w:val="00CE77B2"/>
    <w:rsid w:val="00D02FBD"/>
    <w:rsid w:val="00D03223"/>
    <w:rsid w:val="00D10A61"/>
    <w:rsid w:val="00D14B22"/>
    <w:rsid w:val="00D167E3"/>
    <w:rsid w:val="00D23E64"/>
    <w:rsid w:val="00D3224A"/>
    <w:rsid w:val="00D42A6E"/>
    <w:rsid w:val="00D4535B"/>
    <w:rsid w:val="00D46955"/>
    <w:rsid w:val="00D47524"/>
    <w:rsid w:val="00D475CC"/>
    <w:rsid w:val="00D4779E"/>
    <w:rsid w:val="00D47ED0"/>
    <w:rsid w:val="00D50F14"/>
    <w:rsid w:val="00D513ED"/>
    <w:rsid w:val="00D5566A"/>
    <w:rsid w:val="00D6365C"/>
    <w:rsid w:val="00D64B04"/>
    <w:rsid w:val="00D70C5F"/>
    <w:rsid w:val="00D737F6"/>
    <w:rsid w:val="00D75241"/>
    <w:rsid w:val="00D76F66"/>
    <w:rsid w:val="00D87C00"/>
    <w:rsid w:val="00D958D7"/>
    <w:rsid w:val="00D96C8C"/>
    <w:rsid w:val="00DA1903"/>
    <w:rsid w:val="00DA25CC"/>
    <w:rsid w:val="00DB396D"/>
    <w:rsid w:val="00DB6432"/>
    <w:rsid w:val="00DB77BB"/>
    <w:rsid w:val="00DC0034"/>
    <w:rsid w:val="00DC0C90"/>
    <w:rsid w:val="00DC0F8E"/>
    <w:rsid w:val="00DC7BFA"/>
    <w:rsid w:val="00DD1429"/>
    <w:rsid w:val="00DD7D1B"/>
    <w:rsid w:val="00DE07F3"/>
    <w:rsid w:val="00DE09EA"/>
    <w:rsid w:val="00DE6EA6"/>
    <w:rsid w:val="00DF0B06"/>
    <w:rsid w:val="00DF7D05"/>
    <w:rsid w:val="00E0301E"/>
    <w:rsid w:val="00E0323A"/>
    <w:rsid w:val="00E044A6"/>
    <w:rsid w:val="00E04643"/>
    <w:rsid w:val="00E129CB"/>
    <w:rsid w:val="00E23BAE"/>
    <w:rsid w:val="00E45D91"/>
    <w:rsid w:val="00E522B6"/>
    <w:rsid w:val="00E66710"/>
    <w:rsid w:val="00E90CE8"/>
    <w:rsid w:val="00E96E4D"/>
    <w:rsid w:val="00EA09DC"/>
    <w:rsid w:val="00EA4716"/>
    <w:rsid w:val="00EA5D3F"/>
    <w:rsid w:val="00ED0B84"/>
    <w:rsid w:val="00ED19EA"/>
    <w:rsid w:val="00ED28F4"/>
    <w:rsid w:val="00ED2EBA"/>
    <w:rsid w:val="00ED3808"/>
    <w:rsid w:val="00ED413B"/>
    <w:rsid w:val="00ED43A0"/>
    <w:rsid w:val="00ED49E9"/>
    <w:rsid w:val="00EE16E2"/>
    <w:rsid w:val="00EE7F7A"/>
    <w:rsid w:val="00EF10C1"/>
    <w:rsid w:val="00EF3DC5"/>
    <w:rsid w:val="00EF4978"/>
    <w:rsid w:val="00F03E3F"/>
    <w:rsid w:val="00F16CEC"/>
    <w:rsid w:val="00F30100"/>
    <w:rsid w:val="00F32CAE"/>
    <w:rsid w:val="00F337BB"/>
    <w:rsid w:val="00F37932"/>
    <w:rsid w:val="00F37F6E"/>
    <w:rsid w:val="00F4470F"/>
    <w:rsid w:val="00F54597"/>
    <w:rsid w:val="00F63574"/>
    <w:rsid w:val="00F65134"/>
    <w:rsid w:val="00F65AFC"/>
    <w:rsid w:val="00F77F3E"/>
    <w:rsid w:val="00F81B18"/>
    <w:rsid w:val="00F840DA"/>
    <w:rsid w:val="00F847E9"/>
    <w:rsid w:val="00F84CB0"/>
    <w:rsid w:val="00F85EA5"/>
    <w:rsid w:val="00F91B31"/>
    <w:rsid w:val="00F92517"/>
    <w:rsid w:val="00FB587A"/>
    <w:rsid w:val="00FB5FD7"/>
    <w:rsid w:val="00FB666A"/>
    <w:rsid w:val="00FC69C1"/>
    <w:rsid w:val="00FD593D"/>
    <w:rsid w:val="00FD663C"/>
    <w:rsid w:val="00FE0DA1"/>
    <w:rsid w:val="00FE2496"/>
    <w:rsid w:val="00FE2738"/>
    <w:rsid w:val="00FE3CD4"/>
    <w:rsid w:val="00FE71FC"/>
    <w:rsid w:val="00FF004A"/>
    <w:rsid w:val="00FF0F48"/>
    <w:rsid w:val="00FF13B8"/>
    <w:rsid w:val="00FF2116"/>
    <w:rsid w:val="00FF3E17"/>
    <w:rsid w:val="00FF469C"/>
    <w:rsid w:val="00FF4852"/>
    <w:rsid w:val="00FF71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7FA8CE8"/>
  <w15:chartTrackingRefBased/>
  <w15:docId w15:val="{09DACFC8-866E-422A-9940-9345D7482F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Cambria" w:hAnsi="Cambria" w:cs="Times New Roman"/>
        <w:lang w:val="cs-CZ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B36C41"/>
    <w:pPr>
      <w:spacing w:after="200" w:line="276" w:lineRule="auto"/>
    </w:pPr>
    <w:rPr>
      <w:sz w:val="22"/>
      <w:szCs w:val="22"/>
      <w:lang w:eastAsia="en-US"/>
    </w:rPr>
  </w:style>
  <w:style w:type="paragraph" w:styleId="Nadpis1">
    <w:name w:val="heading 1"/>
    <w:basedOn w:val="Normln"/>
    <w:next w:val="Normln"/>
    <w:link w:val="Nadpis1Char"/>
    <w:uiPriority w:val="9"/>
    <w:qFormat/>
    <w:rsid w:val="00903221"/>
    <w:pPr>
      <w:keepNext/>
      <w:keepLines/>
      <w:spacing w:before="480" w:after="0"/>
      <w:outlineLvl w:val="0"/>
    </w:pPr>
    <w:rPr>
      <w:rFonts w:ascii="Calibri" w:eastAsia="HGGothicM" w:hAnsi="Calibri"/>
      <w:b/>
      <w:bCs/>
      <w:color w:val="365F91"/>
      <w:sz w:val="28"/>
      <w:szCs w:val="28"/>
      <w:lang w:val="x-none" w:eastAsia="x-none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ED43A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903221"/>
    <w:rPr>
      <w:rFonts w:ascii="Calibri" w:eastAsia="HGGothicM" w:hAnsi="Calibri" w:cs="Times New Roman"/>
      <w:b/>
      <w:bCs/>
      <w:color w:val="365F91"/>
      <w:sz w:val="28"/>
      <w:szCs w:val="28"/>
    </w:rPr>
  </w:style>
  <w:style w:type="paragraph" w:styleId="Zhlav">
    <w:name w:val="header"/>
    <w:basedOn w:val="Normln"/>
    <w:link w:val="ZhlavChar"/>
    <w:uiPriority w:val="99"/>
    <w:unhideWhenUsed/>
    <w:rsid w:val="009032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03221"/>
  </w:style>
  <w:style w:type="paragraph" w:styleId="Zpat">
    <w:name w:val="footer"/>
    <w:basedOn w:val="Normln"/>
    <w:link w:val="ZpatChar"/>
    <w:uiPriority w:val="99"/>
    <w:unhideWhenUsed/>
    <w:rsid w:val="009032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03221"/>
  </w:style>
  <w:style w:type="paragraph" w:styleId="Textbubliny">
    <w:name w:val="Balloon Text"/>
    <w:basedOn w:val="Normln"/>
    <w:link w:val="TextbublinyChar"/>
    <w:uiPriority w:val="99"/>
    <w:semiHidden/>
    <w:unhideWhenUsed/>
    <w:rsid w:val="008C7397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uiPriority w:val="99"/>
    <w:semiHidden/>
    <w:rsid w:val="008C7397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59"/>
    <w:rsid w:val="001B60D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lostrnky">
    <w:name w:val="page number"/>
    <w:basedOn w:val="Standardnpsmoodstavce"/>
    <w:uiPriority w:val="99"/>
    <w:semiHidden/>
    <w:unhideWhenUsed/>
    <w:rsid w:val="00EE16E2"/>
  </w:style>
  <w:style w:type="character" w:styleId="Hypertextovodkaz">
    <w:name w:val="Hyperlink"/>
    <w:uiPriority w:val="99"/>
    <w:unhideWhenUsed/>
    <w:rsid w:val="00117811"/>
    <w:rPr>
      <w:color w:val="0000FF"/>
      <w:u w:val="single"/>
    </w:rPr>
  </w:style>
  <w:style w:type="character" w:styleId="Odkaznakoment">
    <w:name w:val="annotation reference"/>
    <w:uiPriority w:val="99"/>
    <w:semiHidden/>
    <w:unhideWhenUsed/>
    <w:rsid w:val="00CD5E2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CD5E20"/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rsid w:val="00CD5E20"/>
    <w:rPr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D5E2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CD5E20"/>
    <w:rPr>
      <w:b/>
      <w:bCs/>
      <w:lang w:eastAsia="en-US"/>
    </w:rPr>
  </w:style>
  <w:style w:type="paragraph" w:styleId="Podnadpis">
    <w:name w:val="Subtitle"/>
    <w:basedOn w:val="Normln"/>
    <w:next w:val="Normln"/>
    <w:link w:val="PodnadpisChar"/>
    <w:rsid w:val="003D63BD"/>
    <w:pPr>
      <w:keepNext/>
      <w:keepLines/>
      <w:pBdr>
        <w:top w:val="nil"/>
        <w:left w:val="nil"/>
        <w:bottom w:val="nil"/>
        <w:right w:val="nil"/>
        <w:between w:val="nil"/>
      </w:pBdr>
      <w:spacing w:before="240" w:after="40" w:line="259" w:lineRule="auto"/>
      <w:ind w:right="-264"/>
      <w:jc w:val="center"/>
    </w:pPr>
    <w:rPr>
      <w:rFonts w:ascii="Arial" w:eastAsia="Arial" w:hAnsi="Arial" w:cs="Arial"/>
      <w:color w:val="666666"/>
      <w:sz w:val="30"/>
      <w:szCs w:val="30"/>
      <w:lang w:eastAsia="cs-CZ"/>
    </w:rPr>
  </w:style>
  <w:style w:type="character" w:customStyle="1" w:styleId="PodnadpisChar">
    <w:name w:val="Podnadpis Char"/>
    <w:link w:val="Podnadpis"/>
    <w:rsid w:val="003D63BD"/>
    <w:rPr>
      <w:rFonts w:ascii="Arial" w:eastAsia="Arial" w:hAnsi="Arial" w:cs="Arial"/>
      <w:color w:val="666666"/>
      <w:sz w:val="30"/>
      <w:szCs w:val="30"/>
    </w:rPr>
  </w:style>
  <w:style w:type="paragraph" w:styleId="Revize">
    <w:name w:val="Revision"/>
    <w:hidden/>
    <w:uiPriority w:val="99"/>
    <w:semiHidden/>
    <w:rsid w:val="00D03223"/>
    <w:rPr>
      <w:sz w:val="22"/>
      <w:szCs w:val="22"/>
      <w:lang w:eastAsia="en-US"/>
    </w:rPr>
  </w:style>
  <w:style w:type="paragraph" w:styleId="Odstavecseseznamem">
    <w:name w:val="List Paragraph"/>
    <w:aliases w:val="N4,Nad,Odstavec_muj,_Odstavec se seznamem,List Paragraph,Odstavec_muj1,Odstavec_muj2,Odstavec_muj3,Nad1,Odstavec_muj4,Nad2,List Paragraph2,Odstavec_muj5,Odstavec_muj6,Odstavec_muj7,Odstavec_muj8,Odstavec_muj9,A-Odrážky1"/>
    <w:basedOn w:val="Normln"/>
    <w:link w:val="OdstavecseseznamemChar"/>
    <w:uiPriority w:val="34"/>
    <w:qFormat/>
    <w:rsid w:val="00D03223"/>
    <w:pPr>
      <w:ind w:left="720"/>
      <w:contextualSpacing/>
    </w:pPr>
    <w:rPr>
      <w:rFonts w:asciiTheme="minorHAnsi" w:eastAsiaTheme="minorHAnsi" w:hAnsiTheme="minorHAnsi" w:cstheme="minorBidi"/>
    </w:rPr>
  </w:style>
  <w:style w:type="character" w:customStyle="1" w:styleId="OdstavecseseznamemChar">
    <w:name w:val="Odstavec se seznamem Char"/>
    <w:aliases w:val="N4 Char,Nad Char,Odstavec_muj Char,_Odstavec se seznamem Char,List Paragraph Char,Odstavec_muj1 Char,Odstavec_muj2 Char,Odstavec_muj3 Char,Nad1 Char,Odstavec_muj4 Char,Nad2 Char,List Paragraph2 Char,Odstavec_muj5 Char"/>
    <w:basedOn w:val="Standardnpsmoodstavce"/>
    <w:link w:val="Odstavecseseznamem"/>
    <w:uiPriority w:val="34"/>
    <w:qFormat/>
    <w:locked/>
    <w:rsid w:val="00D03223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dpis3Char">
    <w:name w:val="Nadpis 3 Char"/>
    <w:basedOn w:val="Standardnpsmoodstavce"/>
    <w:link w:val="Nadpis3"/>
    <w:uiPriority w:val="9"/>
    <w:rsid w:val="00ED43A0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583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58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90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8809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917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7779068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79488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20902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6019732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590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66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24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0095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3992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856213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2145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5381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167674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528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94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32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1712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1550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1380637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70903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38659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6373974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6385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01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1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macintosh"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Sablony_word\dot\organizacni%20opatreni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FE3636-918A-4D6F-A2E3-81C687C224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organizacni opatreni</Template>
  <TotalTime>1</TotalTime>
  <Pages>6</Pages>
  <Words>2236</Words>
  <Characters>13193</Characters>
  <Application>Microsoft Office Word</Application>
  <DocSecurity>0</DocSecurity>
  <Lines>109</Lines>
  <Paragraphs>30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Nadpisy</vt:lpstr>
      </vt:variant>
      <vt:variant>
        <vt:i4>7</vt:i4>
      </vt:variant>
    </vt:vector>
  </HeadingPairs>
  <TitlesOfParts>
    <vt:vector size="8" baseType="lpstr">
      <vt:lpstr>NÁZEV ODBORU</vt:lpstr>
      <vt:lpstr>        Způsob předání milníku:</vt:lpstr>
      <vt:lpstr>        dokumentace skutečného provedení díla, která bude obsahovat výkresovou část, tec</vt:lpstr>
      <vt:lpstr>        revizní zprávy elektroinstalací, bateriových systémů a datových propojení,</vt:lpstr>
      <vt:lpstr>        protokoly o funkčních zkouškách a výsledky testování provozu jednotlivých kompon</vt:lpstr>
      <vt:lpstr>        kolaudační souhlas a veškeré další formální náležitosti pro uvedení díla do trva</vt:lpstr>
      <vt:lpstr>        popis způsobu naložení s odpadem dle čl. VI odst. 9 smlouvy</vt:lpstr>
      <vt:lpstr>        Způsob předání milníku:</vt:lpstr>
    </vt:vector>
  </TitlesOfParts>
  <Company>Your Company Name</Company>
  <LinksUpToDate>false</LinksUpToDate>
  <CharactersWithSpaces>15399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NÁZEV ODBORU</dc:title>
  <dc:subject/>
  <dc:creator>Mgr. Marie Křenová</dc:creator>
  <cp:keywords/>
  <dc:description/>
  <cp:lastModifiedBy>Brožíková Petra</cp:lastModifiedBy>
  <cp:revision>3</cp:revision>
  <cp:lastPrinted>2025-02-06T13:02:00Z</cp:lastPrinted>
  <dcterms:created xsi:type="dcterms:W3CDTF">2025-02-11T15:32:00Z</dcterms:created>
  <dcterms:modified xsi:type="dcterms:W3CDTF">2025-02-11T15:44:00Z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b89dae55b87675622f2479ac9bf2ee58edeae0619d9943990a52378d5e12f7ac</vt:lpwstr>
  </property>
</Properties>
</file>